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7874B8">
        <w:fldChar w:fldCharType="begin"/>
      </w:r>
      <w:r w:rsidR="007874B8">
        <w:instrText xml:space="preserve"> HYPERLINK "http://activemq.apache.org/" \t "_blank" </w:instrText>
      </w:r>
      <w:r w:rsidR="007874B8">
        <w:fldChar w:fldCharType="separate"/>
      </w:r>
      <w:r w:rsidRPr="00A561C0">
        <w:t>http://activemq.apache.org/</w:t>
      </w:r>
      <w:r w:rsidR="007874B8">
        <w:fldChar w:fldCharType="end"/>
      </w:r>
    </w:p>
    <w:p w:rsidR="00913081" w:rsidRPr="000557CE" w:rsidRDefault="00913081" w:rsidP="00913081">
      <w:pPr>
        <w:pStyle w:val="3"/>
        <w:numPr>
          <w:ilvl w:val="1"/>
          <w:numId w:val="7"/>
        </w:numPr>
        <w:rPr>
          <w:highlight w:val="yellow"/>
        </w:rPr>
      </w:pPr>
      <w:r w:rsidRPr="000557CE">
        <w:rPr>
          <w:rFonts w:hint="eastAsia"/>
          <w:highlight w:val="yellow"/>
        </w:rPr>
        <w:t>配置</w:t>
      </w:r>
      <w:proofErr w:type="spellStart"/>
      <w:r w:rsidRPr="000557CE">
        <w:rPr>
          <w:rFonts w:hint="eastAsia"/>
          <w:highlight w:val="yellow"/>
        </w:rPr>
        <w:t>ActiveMQ</w:t>
      </w:r>
      <w:proofErr w:type="spellEnd"/>
    </w:p>
    <w:p w:rsidR="00913081" w:rsidRDefault="00B93450" w:rsidP="00913081">
      <w:pPr>
        <w:pStyle w:val="4"/>
      </w:pPr>
      <w:r>
        <w:rPr>
          <w:rFonts w:hint="eastAsia"/>
        </w:rPr>
        <w:t>禁用</w:t>
      </w:r>
      <w:r w:rsidR="00913081">
        <w:rPr>
          <w:rFonts w:hint="eastAsia"/>
        </w:rPr>
        <w:t>死信队列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>
        <w:t xml:space="preserve">  </w:t>
      </w:r>
      <w:proofErr w:type="gramStart"/>
      <w:r w:rsidRPr="00913081">
        <w:rPr>
          <w:highlight w:val="yellow"/>
        </w:rPr>
        <w:t>&lt;!--</w:t>
      </w:r>
      <w:proofErr w:type="gramEnd"/>
      <w:r w:rsidRPr="00913081">
        <w:rPr>
          <w:highlight w:val="yellow"/>
        </w:rPr>
        <w:t xml:space="preserve"> Set the following policy on all queues using the '&gt;' wildcard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&lt;</w:t>
      </w:r>
      <w:proofErr w:type="spellStart"/>
      <w:r w:rsidRPr="00913081">
        <w:rPr>
          <w:highlight w:val="yellow"/>
        </w:rPr>
        <w:t>policyEntry</w:t>
      </w:r>
      <w:proofErr w:type="spellEnd"/>
      <w:r w:rsidRPr="00913081">
        <w:rPr>
          <w:highlight w:val="yellow"/>
        </w:rPr>
        <w:t xml:space="preserve"> queue="&gt;"&gt;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lastRenderedPageBreak/>
        <w:t xml:space="preserve">         &lt;!--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Tell the dead letter strategy not to process expired messages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</w:t>
      </w:r>
      <w:proofErr w:type="gramStart"/>
      <w:r w:rsidRPr="00913081">
        <w:rPr>
          <w:highlight w:val="yellow"/>
        </w:rPr>
        <w:t>so</w:t>
      </w:r>
      <w:proofErr w:type="gramEnd"/>
      <w:r w:rsidRPr="00913081">
        <w:rPr>
          <w:highlight w:val="yellow"/>
        </w:rPr>
        <w:t xml:space="preserve"> that they will just be discarded instead of being sent to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</w:t>
      </w:r>
      <w:proofErr w:type="gramStart"/>
      <w:r w:rsidRPr="00913081">
        <w:rPr>
          <w:highlight w:val="yellow"/>
        </w:rPr>
        <w:t>the</w:t>
      </w:r>
      <w:proofErr w:type="gramEnd"/>
      <w:r w:rsidRPr="00913081">
        <w:rPr>
          <w:highlight w:val="yellow"/>
        </w:rPr>
        <w:t xml:space="preserve"> DLQ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</w:t>
      </w:r>
      <w:proofErr w:type="spellStart"/>
      <w:proofErr w:type="gramStart"/>
      <w:r w:rsidRPr="00913081">
        <w:rPr>
          <w:highlight w:val="yellow"/>
        </w:rPr>
        <w:t>deadLetterStrategy</w:t>
      </w:r>
      <w:proofErr w:type="spellEnd"/>
      <w:proofErr w:type="gramEnd"/>
      <w:r w:rsidRPr="00913081">
        <w:rPr>
          <w:highlight w:val="yellow"/>
        </w:rPr>
        <w:t>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&lt;</w:t>
      </w:r>
      <w:proofErr w:type="spellStart"/>
      <w:r w:rsidRPr="00913081">
        <w:rPr>
          <w:highlight w:val="yellow"/>
        </w:rPr>
        <w:t>sharedDeadLetterStrategy</w:t>
      </w:r>
      <w:proofErr w:type="spellEnd"/>
      <w:r w:rsidRPr="00913081">
        <w:rPr>
          <w:highlight w:val="yellow"/>
        </w:rPr>
        <w:t xml:space="preserve"> </w:t>
      </w:r>
      <w:proofErr w:type="spellStart"/>
      <w:r w:rsidRPr="00913081">
        <w:rPr>
          <w:highlight w:val="yellow"/>
        </w:rPr>
        <w:t>processExpired</w:t>
      </w:r>
      <w:proofErr w:type="spellEnd"/>
      <w:r w:rsidRPr="00913081">
        <w:rPr>
          <w:highlight w:val="yellow"/>
        </w:rPr>
        <w:t>="false" /&gt;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&lt;/</w:t>
      </w:r>
      <w:proofErr w:type="spellStart"/>
      <w:r w:rsidRPr="00913081">
        <w:rPr>
          <w:highlight w:val="yellow"/>
        </w:rPr>
        <w:t>deadLetterStrategy</w:t>
      </w:r>
      <w:proofErr w:type="spellEnd"/>
      <w:r w:rsidRPr="00913081">
        <w:rPr>
          <w:highlight w:val="yellow"/>
        </w:rPr>
        <w:t>&gt;</w:t>
      </w:r>
    </w:p>
    <w:p w:rsidR="00913081" w:rsidRPr="00913081" w:rsidRDefault="00913081" w:rsidP="00913081">
      <w:pPr>
        <w:pStyle w:val="a3"/>
        <w:spacing w:line="360" w:lineRule="auto"/>
        <w:ind w:left="425" w:firstLineChars="0" w:firstLine="0"/>
        <w:rPr>
          <w:sz w:val="18"/>
        </w:rPr>
      </w:pPr>
      <w:r w:rsidRPr="00913081">
        <w:rPr>
          <w:highlight w:val="yellow"/>
        </w:rPr>
        <w:t xml:space="preserve">       &lt;/</w:t>
      </w:r>
      <w:proofErr w:type="spellStart"/>
      <w:r w:rsidRPr="00913081">
        <w:rPr>
          <w:highlight w:val="yellow"/>
        </w:rPr>
        <w:t>policyEntry</w:t>
      </w:r>
      <w:proofErr w:type="spellEnd"/>
      <w:r w:rsidRPr="00913081">
        <w:rPr>
          <w:highlight w:val="yellow"/>
        </w:rPr>
        <w:t>&gt;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E5537AE" wp14:editId="3645FBE8">
            <wp:extent cx="5274310" cy="30699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1" w:rsidRDefault="00586162" w:rsidP="00586162">
      <w:pPr>
        <w:pStyle w:val="4"/>
      </w:pPr>
      <w:r>
        <w:rPr>
          <w:rFonts w:hint="eastAsia"/>
        </w:rPr>
        <w:t>修改端口和单个消息最大值和最大连接数</w:t>
      </w:r>
    </w:p>
    <w:p w:rsidR="00913081" w:rsidRDefault="00586162" w:rsidP="00DD029B">
      <w:pPr>
        <w:pStyle w:val="a3"/>
        <w:spacing w:line="360" w:lineRule="auto"/>
        <w:ind w:left="425"/>
      </w:pPr>
      <w:r>
        <w:rPr>
          <w:rFonts w:hint="eastAsia"/>
        </w:rPr>
        <w:t>默认端口</w:t>
      </w:r>
      <w:r>
        <w:rPr>
          <w:rFonts w:hint="eastAsia"/>
        </w:rPr>
        <w:t>61616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单个消息最大</w:t>
      </w:r>
      <w:r>
        <w:rPr>
          <w:rFonts w:hint="eastAsia"/>
        </w:rPr>
        <w:t>100M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最大同时连接</w:t>
      </w:r>
      <w:r>
        <w:rPr>
          <w:rFonts w:hint="eastAsia"/>
        </w:rPr>
        <w:t>1000</w:t>
      </w:r>
    </w:p>
    <w:p w:rsidR="00704175" w:rsidRPr="00A11D7E" w:rsidRDefault="00704175" w:rsidP="00704175">
      <w:pPr>
        <w:pStyle w:val="a3"/>
        <w:spacing w:line="360" w:lineRule="auto"/>
        <w:ind w:left="425" w:firstLineChars="0" w:firstLine="0"/>
        <w:rPr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704175" w:rsidRPr="00704175" w:rsidRDefault="00704175" w:rsidP="00DD029B">
      <w:pPr>
        <w:pStyle w:val="a3"/>
        <w:spacing w:line="360" w:lineRule="auto"/>
        <w:ind w:left="425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6C23B7A" wp14:editId="547098CD">
            <wp:extent cx="5274310" cy="683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lastRenderedPageBreak/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OpenWire</w:t>
      </w:r>
      <w:proofErr w:type="spellEnd"/>
      <w:r>
        <w:rPr>
          <w:rFonts w:hint="eastAsia"/>
        </w:rPr>
        <w:t>协议交换消息。</w:t>
      </w:r>
    </w:p>
    <w:p w:rsidR="00586162" w:rsidRDefault="00B40C88" w:rsidP="00B40C88">
      <w:pPr>
        <w:pStyle w:val="4"/>
      </w:pPr>
      <w:r>
        <w:t>修改主题缓存条数</w:t>
      </w:r>
    </w:p>
    <w:p w:rsidR="00586162" w:rsidRDefault="00B40C88" w:rsidP="00DD029B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17C9707" wp14:editId="23BA8A3D">
            <wp:extent cx="5274310" cy="20516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86162" w:rsidRDefault="00586162" w:rsidP="00DD029B">
      <w:pPr>
        <w:pStyle w:val="a3"/>
        <w:spacing w:line="360" w:lineRule="auto"/>
        <w:ind w:left="425"/>
      </w:pPr>
    </w:p>
    <w:p w:rsidR="00913081" w:rsidRPr="00913081" w:rsidRDefault="00913081" w:rsidP="00DD029B">
      <w:pPr>
        <w:pStyle w:val="a3"/>
        <w:spacing w:line="360" w:lineRule="auto"/>
        <w:ind w:left="425"/>
      </w:pP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3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3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7874B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58F2CB4C" wp14:editId="312FCF75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7874B8" w:rsidP="00C441CE">
      <w:pPr>
        <w:pStyle w:val="a3"/>
        <w:spacing w:line="360" w:lineRule="auto"/>
        <w:ind w:left="425"/>
      </w:pPr>
      <w:r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命令是不会修改当前的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drive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的。必须加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/d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8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lastRenderedPageBreak/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Pr="00922DFD" w:rsidRDefault="00D00E93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每个消息有三部分组成：</w:t>
      </w:r>
      <w:r w:rsidR="00D84A7F" w:rsidRPr="00922DFD">
        <w:rPr>
          <w:highlight w:val="yellow"/>
        </w:rPr>
        <w:t>Header</w:t>
      </w:r>
      <w:r w:rsidRPr="00922DFD">
        <w:rPr>
          <w:highlight w:val="yellow"/>
        </w:rPr>
        <w:t>、</w:t>
      </w:r>
      <w:r w:rsidRPr="00922DFD">
        <w:rPr>
          <w:highlight w:val="yellow"/>
        </w:rPr>
        <w:t>Properties</w:t>
      </w:r>
      <w:r w:rsidRPr="00922DFD">
        <w:rPr>
          <w:highlight w:val="yellow"/>
        </w:rPr>
        <w:t>和</w:t>
      </w:r>
      <w:r w:rsidRPr="00922DFD">
        <w:rPr>
          <w:highlight w:val="yellow"/>
        </w:rPr>
        <w:t>Body</w:t>
      </w:r>
    </w:p>
    <w:p w:rsidR="00D00E93" w:rsidRDefault="00D84A7F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Header</w:t>
      </w:r>
      <w:r w:rsidRPr="00922DFD">
        <w:rPr>
          <w:highlight w:val="yellow"/>
        </w:rPr>
        <w:t>：</w:t>
      </w:r>
      <w:r w:rsidR="00AF655F" w:rsidRPr="00922DFD">
        <w:rPr>
          <w:highlight w:val="yellow"/>
        </w:rPr>
        <w:t>所有的消息支持</w:t>
      </w:r>
      <w:r w:rsidR="00AF655F" w:rsidRPr="00922DFD">
        <w:rPr>
          <w:highlight w:val="yellow"/>
        </w:rPr>
        <w:t>the same set of header fields</w:t>
      </w:r>
      <w:r w:rsidR="00A136B7" w:rsidRPr="00922DFD">
        <w:rPr>
          <w:highlight w:val="yellow"/>
        </w:rPr>
        <w:t>。</w:t>
      </w:r>
      <w:r w:rsidR="00922DFD" w:rsidRPr="00922DFD">
        <w:rPr>
          <w:highlight w:val="yellow"/>
        </w:rPr>
        <w:t>Header fields contain values used by both clients and providers to identify and route messages.</w:t>
      </w:r>
    </w:p>
    <w:p w:rsidR="00922DFD" w:rsidRDefault="00DD53BC" w:rsidP="00922DFD">
      <w:pPr>
        <w:pStyle w:val="a3"/>
        <w:spacing w:line="360" w:lineRule="auto"/>
        <w:ind w:left="425" w:firstLineChars="0" w:firstLine="0"/>
      </w:pPr>
      <w:r w:rsidRPr="00DD53BC">
        <w:rPr>
          <w:rFonts w:hint="eastAsia"/>
        </w:rPr>
        <w:t>Pro</w:t>
      </w:r>
      <w:r w:rsidRPr="00DD53BC">
        <w:t>perties</w:t>
      </w:r>
      <w:r w:rsidRPr="00DD53BC">
        <w:t>：</w:t>
      </w:r>
      <w:r>
        <w:t>用户自定义的属性信息。</w:t>
      </w:r>
    </w:p>
    <w:p w:rsidR="00DD53BC" w:rsidRPr="00DD53BC" w:rsidRDefault="00DD53BC" w:rsidP="00922DFD">
      <w:pPr>
        <w:pStyle w:val="a3"/>
        <w:spacing w:line="360" w:lineRule="auto"/>
        <w:ind w:left="425" w:firstLineChars="0" w:firstLine="0"/>
      </w:pPr>
      <w:r>
        <w:t>Body:</w:t>
      </w:r>
      <w:r>
        <w:t>消息体</w:t>
      </w:r>
    </w:p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lastRenderedPageBreak/>
        <w:t xml:space="preserve">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DD53BC" w:rsidRDefault="00B40C88" w:rsidP="00DD53BC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Courier New" w:hAnsi="Courier New" w:cs="Courier New"/>
          <w:color w:val="353833"/>
          <w:szCs w:val="21"/>
        </w:rPr>
      </w:pPr>
      <w:hyperlink r:id="rId22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BytesMessage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3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MapMessage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4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ObjectMessage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5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StreamMessage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6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TextMessage</w:t>
        </w:r>
      </w:hyperlink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Stream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StreamMessage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primitive values in the Java programming language ("Java primitives"). It is filled and read sequentially.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Map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MapMessage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set of name-value pairs, where names are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objects, and values are Java primitives. The entries can be accessed sequentially or randomly by name. The order of the entries is undefined.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Text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TextMessage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java.lang.String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object. This message type can be used to transport plain-text messages, and XML messages.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Object - An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ObjectMessage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Serializable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Java object.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Bytes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BytesMessage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 object's message body contains a stream of </w:t>
      </w:r>
      <w:proofErr w:type="spellStart"/>
      <w:r w:rsidRPr="00F076E6">
        <w:rPr>
          <w:rFonts w:ascii="Georgia" w:eastAsia="宋体" w:hAnsi="Georgia" w:cs="宋体"/>
          <w:color w:val="474747"/>
          <w:kern w:val="0"/>
          <w:szCs w:val="21"/>
        </w:rPr>
        <w:t>uninterpreted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 bytes. This message type is for literally encoding a body to match an existing message format. </w:t>
      </w:r>
    </w:p>
    <w:p w:rsidR="004519D1" w:rsidRPr="00F076E6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lastRenderedPageBreak/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A1AFE" w:rsidRDefault="007A1AFE" w:rsidP="007A1AFE">
      <w:pPr>
        <w:pStyle w:val="4"/>
      </w:pPr>
      <w:r>
        <w:rPr>
          <w:rFonts w:hint="eastAsia"/>
        </w:rPr>
        <w:t>持久和非持久</w:t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持久消息放到硬盘上，非持久消息放到内存，当内存告急，非持久消息会写入临时文件。重启后持久消息会被恢复，非持久的临时文件直接删除。当内存或者文件超过指定限制会阻塞生产者。</w:t>
      </w:r>
      <w:r w:rsidR="00966A5D">
        <w:rPr>
          <w:rFonts w:hint="eastAsia"/>
        </w:rPr>
        <w:t>尤其是非持久主题，会发给每个消费者，才删除消息。这样慢的消费者会拖累快的消费者。</w:t>
      </w:r>
      <w:r w:rsidR="00966A5D">
        <w:t>B</w:t>
      </w:r>
      <w:r w:rsidR="00966A5D">
        <w:rPr>
          <w:rFonts w:hint="eastAsia"/>
        </w:rPr>
        <w:t>roker</w:t>
      </w:r>
      <w:r w:rsidR="00966A5D">
        <w:rPr>
          <w:rFonts w:hint="eastAsia"/>
        </w:rPr>
        <w:t>增加了缓存的配置，缓存一定的数量，超过这个旧的会被丢弃。</w:t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默认持久保存到</w:t>
      </w:r>
      <w:r>
        <w:rPr>
          <w:rFonts w:hint="eastAsia"/>
        </w:rPr>
        <w:t>data</w:t>
      </w:r>
      <w:r>
        <w:rPr>
          <w:rFonts w:hint="eastAsia"/>
        </w:rPr>
        <w:t>文件夹，整个文件夹重启时可以删除。重启时自动重建。</w:t>
      </w:r>
    </w:p>
    <w:p w:rsidR="00966A5D" w:rsidRDefault="00E52743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5F5CFF59" wp14:editId="2073EB5B">
            <wp:extent cx="5274310" cy="2051731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966A5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77B8B0" wp14:editId="0F96ED26">
            <wp:extent cx="5274310" cy="243326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systemUsage</w:t>
      </w:r>
      <w:proofErr w:type="spellEnd"/>
      <w:r>
        <w:rPr>
          <w:rFonts w:hint="eastAsia"/>
        </w:rPr>
        <w:t>达到极限时会阻塞生产者。</w:t>
      </w: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9BA9344" wp14:editId="7B26BABA">
            <wp:extent cx="5274310" cy="1790457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lastRenderedPageBreak/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 xml:space="preserve">message store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lastRenderedPageBreak/>
        <w:t>starts after a hard stop.</w:t>
      </w:r>
    </w:p>
    <w:p w:rsidR="00490A9F" w:rsidRDefault="00D677A0" w:rsidP="00841239">
      <w:pPr>
        <w:pStyle w:val="a3"/>
        <w:spacing w:line="360" w:lineRule="auto"/>
        <w:ind w:left="425" w:firstLineChars="0" w:firstLine="0"/>
      </w:pPr>
      <w:r>
        <w:t>Lock</w:t>
      </w:r>
      <w:r>
        <w:t>：</w:t>
      </w:r>
      <w:r>
        <w:rPr>
          <w:rFonts w:hint="eastAsia"/>
        </w:rPr>
        <w:t>锁文件，用来做</w:t>
      </w:r>
      <w:r>
        <w:rPr>
          <w:rFonts w:hint="eastAsia"/>
        </w:rPr>
        <w:t>Cluster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 xml:space="preserve">, where multiple </w:t>
      </w:r>
      <w:proofErr w:type="spellStart"/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MQ</w:t>
      </w:r>
      <w:proofErr w:type="spellEnd"/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masterConnector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remoteURI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tcp</w:t>
      </w:r>
      <w:proofErr w:type="spellEnd"/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/remotehost:62001"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userName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proofErr w:type="spellStart"/>
      <w:r>
        <w:t>RemoterURI</w:t>
      </w:r>
      <w:proofErr w:type="spellEnd"/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When an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message broker uses a relational database, it grabs an exclusive lock on a table to ensure that no other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only the first broker to connect will grab the lock. Any subsequent brokers will poll until they can get access to the lock. While in this polling state, the </w:t>
      </w:r>
      <w:proofErr w:type="spellStart"/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>MQ</w:t>
      </w:r>
      <w:proofErr w:type="spellEnd"/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proofErr w:type="spellStart"/>
      <w:r>
        <w:rPr>
          <w:rFonts w:hint="eastAsia"/>
        </w:rPr>
        <w:t>ka</w:t>
      </w:r>
      <w:r>
        <w:t>haDB</w:t>
      </w:r>
      <w:proofErr w:type="spellEnd"/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FE6F0C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 xml:space="preserve">Composite </w:t>
      </w:r>
      <w:proofErr w:type="spellStart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desitination</w:t>
      </w:r>
      <w:proofErr w:type="spellEnd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4551D" w:rsidP="0054551D">
      <w:pPr>
        <w:pStyle w:val="3"/>
      </w:pPr>
      <w:r>
        <w:rPr>
          <w:rFonts w:hint="eastAsia"/>
        </w:rPr>
        <w:t xml:space="preserve">3.9 </w:t>
      </w:r>
      <w:r>
        <w:rPr>
          <w:rFonts w:hint="eastAsia"/>
        </w:rPr>
        <w:t>重发和死信队列</w:t>
      </w:r>
    </w:p>
    <w:p w:rsidR="005C14BE" w:rsidRDefault="007A1AFE" w:rsidP="00841239">
      <w:pPr>
        <w:pStyle w:val="a3"/>
        <w:spacing w:line="360" w:lineRule="auto"/>
        <w:ind w:left="425" w:firstLineChars="0" w:firstLine="0"/>
      </w:pPr>
      <w:r>
        <w:t>消息在一下情况下重发：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used and </w:t>
      </w:r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rollback(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closed before </w:t>
      </w:r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commit(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session is using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CLIENT_ACKNOWLEDGE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proofErr w:type="spellStart"/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Session.recover</w:t>
      </w:r>
      <w:proofErr w:type="spell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client connection times out (perhaps the code being executed takes longer than the configured time-out period).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当消息重发超过指定次数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如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listener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处理异常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，就会被放到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DLQ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，死信队列。死信队列名字为：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HTML"/>
          <w:b/>
          <w:bCs/>
          <w:color w:val="000000"/>
          <w:shd w:val="clear" w:color="auto" w:fill="FFFFFF"/>
        </w:rPr>
        <w:t>ActiveMQ.DLQ</w:t>
      </w:r>
      <w:proofErr w:type="spellEnd"/>
      <w:r>
        <w:rPr>
          <w:rStyle w:val="HTML"/>
          <w:b/>
          <w:bCs/>
          <w:color w:val="000000"/>
          <w:shd w:val="clear" w:color="auto" w:fill="FFFFFF"/>
        </w:rPr>
        <w:t>。</w:t>
      </w:r>
      <w:r w:rsidRPr="007A1AFE">
        <w:rPr>
          <w:rFonts w:ascii="Verdana" w:hAnsi="Verdana"/>
          <w:kern w:val="0"/>
          <w:sz w:val="18"/>
          <w:szCs w:val="18"/>
        </w:rPr>
        <w:t>所有未发送的消息都放到这个队列。</w:t>
      </w:r>
    </w:p>
    <w:p w:rsidR="007A1AFE" w:rsidRDefault="00913081" w:rsidP="00841239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</w:t>
      </w:r>
      <w:proofErr w:type="gramStart"/>
      <w:r>
        <w:t>&lt;!--</w:t>
      </w:r>
      <w:proofErr w:type="gramEnd"/>
      <w:r>
        <w:t xml:space="preserve"> Set the following policy on all queues using the '&gt;' wildcard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&lt;</w:t>
      </w:r>
      <w:proofErr w:type="spellStart"/>
      <w:r>
        <w:t>policyEntry</w:t>
      </w:r>
      <w:proofErr w:type="spellEnd"/>
      <w:r>
        <w:t xml:space="preserve"> queue="&gt;"&gt;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&lt;!--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Tell the dead letter strategy not to process expired messages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</w:t>
      </w:r>
      <w:proofErr w:type="gramStart"/>
      <w:r>
        <w:t>so</w:t>
      </w:r>
      <w:proofErr w:type="gramEnd"/>
      <w:r>
        <w:t xml:space="preserve"> that they will just be discarded instead of being sent to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</w:t>
      </w:r>
      <w:proofErr w:type="gramStart"/>
      <w:r>
        <w:t>the</w:t>
      </w:r>
      <w:proofErr w:type="gramEnd"/>
      <w:r>
        <w:t xml:space="preserve"> DLQ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</w:t>
      </w:r>
      <w:proofErr w:type="spellStart"/>
      <w:proofErr w:type="gramStart"/>
      <w:r>
        <w:t>deadLetterStrategy</w:t>
      </w:r>
      <w:proofErr w:type="spellEnd"/>
      <w:proofErr w:type="gramEnd"/>
      <w:r>
        <w:t>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&lt;</w:t>
      </w:r>
      <w:proofErr w:type="spellStart"/>
      <w:r>
        <w:t>sharedDeadLetterStrategy</w:t>
      </w:r>
      <w:proofErr w:type="spellEnd"/>
      <w:r>
        <w:t xml:space="preserve"> </w:t>
      </w:r>
      <w:proofErr w:type="spellStart"/>
      <w:r>
        <w:t>processExpired</w:t>
      </w:r>
      <w:proofErr w:type="spellEnd"/>
      <w:r>
        <w:t>="false" /&gt;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&lt;/</w:t>
      </w:r>
      <w:proofErr w:type="spellStart"/>
      <w:r>
        <w:t>deadLetterStrategy</w:t>
      </w:r>
      <w:proofErr w:type="spellEnd"/>
      <w:r>
        <w:t>&gt;</w:t>
      </w:r>
    </w:p>
    <w:p w:rsidR="00913081" w:rsidRPr="007A1AFE" w:rsidRDefault="00913081" w:rsidP="00913081">
      <w:pPr>
        <w:pStyle w:val="a3"/>
        <w:spacing w:line="360" w:lineRule="auto"/>
        <w:ind w:left="425" w:firstLineChars="0" w:firstLine="0"/>
      </w:pPr>
      <w:r>
        <w:lastRenderedPageBreak/>
        <w:t xml:space="preserve">       &lt;/</w:t>
      </w:r>
      <w:proofErr w:type="spellStart"/>
      <w:r>
        <w:t>policyEntry</w:t>
      </w:r>
      <w:proofErr w:type="spellEnd"/>
      <w:r>
        <w:t>&gt;</w:t>
      </w:r>
    </w:p>
    <w:p w:rsidR="005C14BE" w:rsidRDefault="0091308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56F601F" wp14:editId="4D029B3E">
            <wp:extent cx="5274310" cy="30699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7038F" w:rsidP="00841239">
      <w:pPr>
        <w:pStyle w:val="a3"/>
        <w:spacing w:line="360" w:lineRule="auto"/>
        <w:ind w:left="425" w:firstLineChars="0" w:firstLine="0"/>
      </w:pPr>
      <w:r>
        <w:t>默认非持久消息不会放到死信队列。默认死信队列的消息是不过期的。</w:t>
      </w:r>
    </w:p>
    <w:p w:rsidR="005C14BE" w:rsidRDefault="00451CC9" w:rsidP="00841239">
      <w:pPr>
        <w:pStyle w:val="a3"/>
        <w:spacing w:line="360" w:lineRule="auto"/>
        <w:ind w:left="425" w:firstLineChars="0" w:firstLine="0"/>
      </w:pPr>
      <w:r>
        <w:t>主题过期会丢弃，不会放到死信队列。</w:t>
      </w:r>
      <w:r w:rsidR="00717C24">
        <w:t>建议主题不持久。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11D7E" w:rsidP="00A11D7E">
      <w:pPr>
        <w:pStyle w:val="3"/>
      </w:pPr>
      <w:r>
        <w:rPr>
          <w:rFonts w:hint="eastAsia"/>
        </w:rPr>
        <w:t xml:space="preserve">3.10 </w:t>
      </w:r>
      <w:r w:rsidRPr="00A11D7E">
        <w:t>开发建议</w:t>
      </w:r>
    </w:p>
    <w:p w:rsidR="005C14B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highlight w:val="yellow"/>
        </w:rPr>
        <w:t>禁用死信队列。</w:t>
      </w:r>
    </w:p>
    <w:p w:rsidR="00704175" w:rsidRPr="00A11D7E" w:rsidRDefault="00704175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rFonts w:hint="eastAsia"/>
          <w:highlight w:val="yellow"/>
        </w:rPr>
        <w:t>主题非持久，过期时间</w:t>
      </w:r>
      <w:r w:rsidRPr="00A11D7E">
        <w:rPr>
          <w:rFonts w:hint="eastAsia"/>
          <w:highlight w:val="yellow"/>
        </w:rPr>
        <w:t>10</w:t>
      </w:r>
      <w:r w:rsidRPr="00A11D7E">
        <w:rPr>
          <w:rFonts w:hint="eastAsia"/>
          <w:highlight w:val="yellow"/>
        </w:rPr>
        <w:t>分钟。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rFonts w:hint="eastAsia"/>
          <w:highlight w:val="yellow"/>
        </w:rPr>
        <w:t>队列持久，过期时间</w:t>
      </w:r>
      <w:r w:rsidRPr="00A11D7E">
        <w:rPr>
          <w:rFonts w:hint="eastAsia"/>
          <w:highlight w:val="yellow"/>
        </w:rPr>
        <w:t>30</w:t>
      </w:r>
      <w:r w:rsidRPr="00A11D7E">
        <w:rPr>
          <w:rFonts w:hint="eastAsia"/>
          <w:highlight w:val="yellow"/>
        </w:rPr>
        <w:t>分钟。</w:t>
      </w:r>
    </w:p>
    <w:p w:rsidR="00A11D7E" w:rsidRDefault="00A11D7E" w:rsidP="00841239">
      <w:pPr>
        <w:pStyle w:val="a3"/>
        <w:spacing w:line="360" w:lineRule="auto"/>
        <w:ind w:left="425" w:firstLineChars="0" w:firstLine="0"/>
      </w:pPr>
      <w:r w:rsidRPr="00A11D7E">
        <w:rPr>
          <w:rFonts w:hint="eastAsia"/>
          <w:highlight w:val="yellow"/>
        </w:rPr>
        <w:t>消费者长连接，单独线程处理</w:t>
      </w:r>
      <w:proofErr w:type="gramStart"/>
      <w:r w:rsidRPr="00A11D7E">
        <w:rPr>
          <w:rFonts w:hint="eastAsia"/>
          <w:highlight w:val="yellow"/>
        </w:rPr>
        <w:t>取消息</w:t>
      </w:r>
      <w:proofErr w:type="gramEnd"/>
      <w:r w:rsidRPr="00A11D7E">
        <w:rPr>
          <w:rFonts w:hint="eastAsia"/>
          <w:highlight w:val="yellow"/>
        </w:rPr>
        <w:t>和处理消息。</w:t>
      </w:r>
    </w:p>
    <w:p w:rsidR="005C14BE" w:rsidRDefault="00A11D7E" w:rsidP="00841239">
      <w:pPr>
        <w:pStyle w:val="a3"/>
        <w:spacing w:line="360" w:lineRule="auto"/>
        <w:ind w:left="425" w:firstLineChars="0" w:firstLine="0"/>
      </w:pPr>
      <w:r>
        <w:t>发送者可以短连接。</w:t>
      </w:r>
    </w:p>
    <w:p w:rsidR="005C14BE" w:rsidRDefault="007E0378" w:rsidP="00841239">
      <w:pPr>
        <w:pStyle w:val="a3"/>
        <w:spacing w:line="360" w:lineRule="auto"/>
        <w:ind w:left="425" w:firstLineChars="0" w:firstLine="0"/>
      </w:pPr>
      <w:r>
        <w:t>最大单个消息默认是</w:t>
      </w:r>
      <w:r>
        <w:rPr>
          <w:rFonts w:hint="eastAsia"/>
        </w:rPr>
        <w:t>100M.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0292E46"/>
    <w:multiLevelType w:val="multilevel"/>
    <w:tmpl w:val="D90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F06217"/>
    <w:multiLevelType w:val="multilevel"/>
    <w:tmpl w:val="CF1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F4D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4E63EC0"/>
    <w:multiLevelType w:val="multilevel"/>
    <w:tmpl w:val="3CC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5FBB6128"/>
    <w:multiLevelType w:val="multilevel"/>
    <w:tmpl w:val="292C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9AB7A80"/>
    <w:multiLevelType w:val="multilevel"/>
    <w:tmpl w:val="8906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57CE"/>
    <w:rsid w:val="00056E4E"/>
    <w:rsid w:val="00065DF3"/>
    <w:rsid w:val="000704F8"/>
    <w:rsid w:val="000976BB"/>
    <w:rsid w:val="000A1A89"/>
    <w:rsid w:val="000C4385"/>
    <w:rsid w:val="000F04A0"/>
    <w:rsid w:val="000F173B"/>
    <w:rsid w:val="00103C53"/>
    <w:rsid w:val="0014373B"/>
    <w:rsid w:val="00146ED2"/>
    <w:rsid w:val="00187CFC"/>
    <w:rsid w:val="00192B7A"/>
    <w:rsid w:val="001973D2"/>
    <w:rsid w:val="001A3FE9"/>
    <w:rsid w:val="001D2728"/>
    <w:rsid w:val="001E6F99"/>
    <w:rsid w:val="00217051"/>
    <w:rsid w:val="00262761"/>
    <w:rsid w:val="00266B73"/>
    <w:rsid w:val="002716EE"/>
    <w:rsid w:val="00286593"/>
    <w:rsid w:val="00287E1B"/>
    <w:rsid w:val="00291FB6"/>
    <w:rsid w:val="002B0782"/>
    <w:rsid w:val="002B30ED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51CC9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551D"/>
    <w:rsid w:val="0054709A"/>
    <w:rsid w:val="00553E10"/>
    <w:rsid w:val="00554771"/>
    <w:rsid w:val="005561D5"/>
    <w:rsid w:val="005705E6"/>
    <w:rsid w:val="00586162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33F"/>
    <w:rsid w:val="006E2EF4"/>
    <w:rsid w:val="006E4C5E"/>
    <w:rsid w:val="00704175"/>
    <w:rsid w:val="0071358E"/>
    <w:rsid w:val="0071394E"/>
    <w:rsid w:val="00717C24"/>
    <w:rsid w:val="0076030E"/>
    <w:rsid w:val="007625E3"/>
    <w:rsid w:val="00772A37"/>
    <w:rsid w:val="00772F38"/>
    <w:rsid w:val="00783BE7"/>
    <w:rsid w:val="0078625B"/>
    <w:rsid w:val="007874B8"/>
    <w:rsid w:val="00794341"/>
    <w:rsid w:val="007A1AFE"/>
    <w:rsid w:val="007A5A27"/>
    <w:rsid w:val="007B2A50"/>
    <w:rsid w:val="007E0378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13081"/>
    <w:rsid w:val="0092253D"/>
    <w:rsid w:val="00922DFD"/>
    <w:rsid w:val="00924D68"/>
    <w:rsid w:val="009316C4"/>
    <w:rsid w:val="009462EB"/>
    <w:rsid w:val="009532DA"/>
    <w:rsid w:val="00966A5D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11D7E"/>
    <w:rsid w:val="00A136B7"/>
    <w:rsid w:val="00A21763"/>
    <w:rsid w:val="00A24CA0"/>
    <w:rsid w:val="00A43E35"/>
    <w:rsid w:val="00A5326F"/>
    <w:rsid w:val="00A561C0"/>
    <w:rsid w:val="00A7038F"/>
    <w:rsid w:val="00AA17ED"/>
    <w:rsid w:val="00AA758A"/>
    <w:rsid w:val="00AB3088"/>
    <w:rsid w:val="00AB4B4A"/>
    <w:rsid w:val="00AC5A1C"/>
    <w:rsid w:val="00AE201C"/>
    <w:rsid w:val="00AF07EB"/>
    <w:rsid w:val="00AF655F"/>
    <w:rsid w:val="00AF6E72"/>
    <w:rsid w:val="00B042A9"/>
    <w:rsid w:val="00B11D3C"/>
    <w:rsid w:val="00B13BC5"/>
    <w:rsid w:val="00B16EB6"/>
    <w:rsid w:val="00B32BD8"/>
    <w:rsid w:val="00B40C88"/>
    <w:rsid w:val="00B42E2B"/>
    <w:rsid w:val="00B53956"/>
    <w:rsid w:val="00B626EF"/>
    <w:rsid w:val="00B8075A"/>
    <w:rsid w:val="00B84A9D"/>
    <w:rsid w:val="00B93450"/>
    <w:rsid w:val="00B9748C"/>
    <w:rsid w:val="00BB46B7"/>
    <w:rsid w:val="00BC550F"/>
    <w:rsid w:val="00BD12E8"/>
    <w:rsid w:val="00BD1487"/>
    <w:rsid w:val="00BD4FDB"/>
    <w:rsid w:val="00BE512E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00E93"/>
    <w:rsid w:val="00D16F9B"/>
    <w:rsid w:val="00D245FD"/>
    <w:rsid w:val="00D276A8"/>
    <w:rsid w:val="00D529BB"/>
    <w:rsid w:val="00D677A0"/>
    <w:rsid w:val="00D72046"/>
    <w:rsid w:val="00D8060A"/>
    <w:rsid w:val="00D84A7F"/>
    <w:rsid w:val="00D963C0"/>
    <w:rsid w:val="00DB5E38"/>
    <w:rsid w:val="00DB765D"/>
    <w:rsid w:val="00DC0426"/>
    <w:rsid w:val="00DC21F1"/>
    <w:rsid w:val="00DC432D"/>
    <w:rsid w:val="00DD029B"/>
    <w:rsid w:val="00DD53BC"/>
    <w:rsid w:val="00E069A5"/>
    <w:rsid w:val="00E0790E"/>
    <w:rsid w:val="00E07B12"/>
    <w:rsid w:val="00E50124"/>
    <w:rsid w:val="00E52743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076E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2630"/>
    <w:rsid w:val="00FC3948"/>
    <w:rsid w:val="00FC738C"/>
    <w:rsid w:val="00FE6F0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161/admin/" TargetMode="External"/><Relationship Id="rId26" Type="http://schemas.openxmlformats.org/officeDocument/2006/relationships/hyperlink" Target="https://docs.oracle.com/javaee/7/api/javax/jms/TextMessag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oracle.com/javaee/7/api/javax/jms/StreamMessag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docs.oracle.com/javaee/7/api/javax/jms/ObjectMessage.html" TargetMode="External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ocs.oracle.com/javaee/7/api/javax/jms/MapMessage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oracle.com/javaee/7/api/javax/jms/BytesMessage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CCD2D-7742-4712-BB14-7335A446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20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506</cp:revision>
  <dcterms:created xsi:type="dcterms:W3CDTF">2015-01-09T02:05:00Z</dcterms:created>
  <dcterms:modified xsi:type="dcterms:W3CDTF">2017-08-18T23:20:00Z</dcterms:modified>
</cp:coreProperties>
</file>