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A</w:t>
      </w:r>
      <w:r>
        <w:rPr/>
        <w:t>ttenuate</w:t>
      </w:r>
      <w:r>
        <w:rPr/>
        <w:t>d</w:t>
      </w:r>
      <w:r>
        <w:rPr/>
        <w:t xml:space="preserve"> hippocampal CA1 pattern reactivation </w:t>
      </w:r>
      <w:r>
        <w:rPr/>
        <w:t>and replay</w:t>
      </w:r>
      <w:r>
        <w:rPr/>
        <w:t xml:space="preserve"> </w:t>
      </w:r>
      <w:r>
        <w:rPr/>
        <w:t>in rats with medial entorhinal cortex lesion</w:t>
      </w:r>
    </w:p>
    <w:p>
      <w:pPr>
        <w:pStyle w:val="Normal"/>
        <w:rPr/>
      </w:pPr>
      <w:r>
        <w:rPr/>
      </w:r>
    </w:p>
    <w:p>
      <w:pPr>
        <w:pStyle w:val="Normal"/>
        <w:rPr>
          <w:b/>
          <w:bCs/>
          <w:vertAlign w:val="superscript"/>
        </w:rPr>
      </w:pPr>
      <w:r>
        <w:rPr>
          <w:b/>
          <w:bCs/>
        </w:rPr>
        <w:t>Alireza Chenani</w:t>
      </w:r>
      <w:r>
        <w:rPr>
          <w:b/>
          <w:bCs/>
          <w:vertAlign w:val="superscript"/>
        </w:rPr>
        <w:t>1</w:t>
      </w:r>
      <w:r>
        <w:rPr>
          <w:b/>
          <w:bCs/>
        </w:rPr>
        <w:t>, Marta Sabariego</w:t>
      </w:r>
      <w:r>
        <w:rPr>
          <w:b/>
          <w:bCs/>
          <w:vertAlign w:val="superscript"/>
        </w:rPr>
        <w:t>2</w:t>
      </w:r>
      <w:r>
        <w:rPr>
          <w:b/>
          <w:bCs/>
        </w:rPr>
        <w:t>, Magda Schlesiger</w:t>
      </w:r>
      <w:r>
        <w:rPr>
          <w:b/>
          <w:bCs/>
          <w:vertAlign w:val="superscript"/>
        </w:rPr>
        <w:t>2</w:t>
      </w:r>
      <w:r>
        <w:rPr>
          <w:b/>
          <w:bCs/>
        </w:rPr>
        <w:t>, …., Stefan Leutgeb</w:t>
      </w:r>
      <w:r>
        <w:rPr>
          <w:b/>
          <w:bCs/>
          <w:vertAlign w:val="superscript"/>
        </w:rPr>
        <w:t>2,3</w:t>
      </w:r>
      <w:r>
        <w:rPr>
          <w:b/>
          <w:bCs/>
        </w:rPr>
        <w:t>, Christian Leibold</w:t>
      </w:r>
      <w:r>
        <w:rPr>
          <w:b/>
          <w:bCs/>
          <w:vertAlign w:val="superscript"/>
        </w:rPr>
        <w:t>1,4</w:t>
      </w:r>
    </w:p>
    <w:p>
      <w:pPr>
        <w:pStyle w:val="Normal"/>
        <w:rPr/>
      </w:pPr>
      <w:r>
        <w:rPr/>
      </w:r>
    </w:p>
    <w:p>
      <w:pPr>
        <w:pStyle w:val="Normal"/>
        <w:rPr>
          <w:sz w:val="16"/>
          <w:szCs w:val="16"/>
        </w:rPr>
      </w:pPr>
      <w:r>
        <w:rPr>
          <w:sz w:val="16"/>
          <w:szCs w:val="16"/>
        </w:rPr>
        <w:t>1 Department Biology II, Ludwig-Maximilians-Universität München, Martinsried, Germany</w:t>
      </w:r>
    </w:p>
    <w:p>
      <w:pPr>
        <w:pStyle w:val="Normal"/>
        <w:rPr>
          <w:sz w:val="16"/>
          <w:szCs w:val="16"/>
        </w:rPr>
      </w:pPr>
      <w:r>
        <w:rPr>
          <w:sz w:val="16"/>
          <w:szCs w:val="16"/>
        </w:rPr>
        <w:t xml:space="preserve">2 </w:t>
      </w:r>
      <w:r>
        <w:rPr>
          <w:sz w:val="16"/>
          <w:szCs w:val="16"/>
        </w:rPr>
        <w:t>Neurobiology Section and Center for Neural Circuits and Behavior, University of California, San Diego, La Jolla, California, USA.</w:t>
      </w:r>
    </w:p>
    <w:p>
      <w:pPr>
        <w:pStyle w:val="Normal"/>
        <w:rPr>
          <w:sz w:val="16"/>
          <w:szCs w:val="16"/>
        </w:rPr>
      </w:pPr>
      <w:r>
        <w:rPr>
          <w:sz w:val="16"/>
          <w:szCs w:val="16"/>
        </w:rPr>
        <w:t xml:space="preserve">3 </w:t>
      </w:r>
      <w:r>
        <w:rPr>
          <w:sz w:val="16"/>
          <w:szCs w:val="16"/>
        </w:rPr>
        <w:t>Kavli Institute for Brain and Mind, University of California, San Diego, La Jolla, California, USA.</w:t>
      </w:r>
    </w:p>
    <w:p>
      <w:pPr>
        <w:pStyle w:val="Normal"/>
        <w:rPr>
          <w:sz w:val="16"/>
          <w:szCs w:val="16"/>
        </w:rPr>
      </w:pPr>
      <w:r>
        <w:rPr>
          <w:sz w:val="16"/>
          <w:szCs w:val="16"/>
        </w:rPr>
        <w:t>4 Bernstein Center for Computational Neuroscience Munich, Martinsried, Germany</w:t>
      </w:r>
    </w:p>
    <w:p>
      <w:pPr>
        <w:pStyle w:val="Normal"/>
        <w:rPr>
          <w:sz w:val="16"/>
          <w:szCs w:val="16"/>
        </w:rPr>
      </w:pPr>
      <w:r>
        <w:rPr>
          <w:sz w:val="16"/>
          <w:szCs w:val="16"/>
        </w:rPr>
      </w:r>
    </w:p>
    <w:p>
      <w:pPr>
        <w:pStyle w:val="Normal"/>
        <w:rPr/>
      </w:pPr>
      <w:r>
        <w:rPr/>
      </w:r>
    </w:p>
    <w:p>
      <w:pPr>
        <w:pStyle w:val="Normal"/>
        <w:rPr/>
      </w:pPr>
      <w:r>
        <w:rPr/>
        <w:t xml:space="preserve">During awake immobility and slow wave sleep hippocampal </w:t>
      </w:r>
      <w:r>
        <w:rPr/>
        <w:t xml:space="preserve">spikes from </w:t>
      </w:r>
      <w:r>
        <w:rPr/>
        <w:t xml:space="preserve">CA1 population bursts resemble place field sequences </w:t>
      </w:r>
      <w:r>
        <w:rPr/>
        <w:t xml:space="preserve">(replay/preplay) </w:t>
      </w:r>
      <w:r>
        <w:rPr/>
        <w:t xml:space="preserve">and </w:t>
      </w:r>
      <w:r>
        <w:rPr/>
        <w:t xml:space="preserve">neuronal </w:t>
      </w:r>
      <w:r>
        <w:rPr/>
        <w:t>assembl</w:t>
      </w:r>
      <w:r>
        <w:rPr/>
        <w:t>i</w:t>
      </w:r>
      <w:r>
        <w:rPr/>
        <w:t xml:space="preserve">es </w:t>
      </w:r>
      <w:r>
        <w:rPr/>
        <w:t xml:space="preserve">that are identified </w:t>
      </w:r>
      <w:r>
        <w:rPr/>
        <w:t xml:space="preserve">during </w:t>
      </w:r>
      <w:r>
        <w:rPr/>
        <w:t xml:space="preserve">running on a </w:t>
      </w:r>
      <w:r>
        <w:rPr/>
        <w:t xml:space="preserve">linear track. These </w:t>
      </w:r>
      <w:r>
        <w:rPr/>
        <w:t xml:space="preserve">spontaneous </w:t>
      </w:r>
      <w:r>
        <w:rPr/>
        <w:t xml:space="preserve">hippocampal activity patterns </w:t>
      </w:r>
      <w:r>
        <w:rPr/>
        <w:t>are generally thought to reflect intrinsic hippocampal synaptic connectivity. How much they reflect experience during linear track sessions is not fully understood. In rats with bilateral lesions of the medial entorhinal cortex (MEC) we find that sequence replay was still highly significantly present but nevertheless strongly reduced as compared to control rats. In lesioned rats, the average activation strength of assemblies was similar during rest sessions before (PRE) and after (POST) running on the linear track (RUN), whereas for controls, average POST activation was higher than PRE activation. Since, in MEC lesioned animals CA1 theta phase precession was strongly disrupted, our findings suggest that sequence replay and assembly reactivation are partly independent of intact hippocampal phase precession.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Berschrift3">
    <w:name w:val="Überschrift 3"/>
    <w:basedOn w:val="Berschrift"/>
    <w:next w:val="Textkrper"/>
    <w:pPr>
      <w:spacing w:before="140" w:after="120"/>
      <w:outlineLvl w:val="2"/>
      <w:outlineLvl w:val="2"/>
    </w:pPr>
    <w:rPr>
      <w:rFonts w:ascii="Liberation Serif" w:hAnsi="Liberation Serif" w:eastAsia="Droid Sans Fallback" w:cs="FreeSans"/>
      <w:b/>
      <w:bCs/>
      <w:color w:val="808080"/>
      <w:sz w:val="28"/>
      <w:szCs w:val="28"/>
    </w:rPr>
  </w:style>
  <w:style w:type="paragraph" w:styleId="Berschrift">
    <w:name w:val="Überschrift"/>
    <w:basedOn w:val="Normal"/>
    <w:next w:val="Textkrper"/>
    <w:pPr>
      <w:keepNext/>
      <w:spacing w:before="240" w:after="120"/>
    </w:pPr>
    <w:rPr>
      <w:rFonts w:ascii="Liberation Sans" w:hAnsi="Liberation Sans" w:eastAsia="Droid Sans Fallback" w:cs="Free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2016-05-02T16:42:41Z</dcterms:created>
  <dc:creator>Christian Leibold</dc:creator>
  <dc:language>en-US</dc:language>
  <cp:revision>0</cp:revision>
</cp:coreProperties>
</file>