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FD8" w:rsidRDefault="00E62FD8">
      <w:pPr>
        <w:pStyle w:val="Heading1"/>
        <w:tabs>
          <w:tab w:val="left" w:pos="1276"/>
        </w:tabs>
        <w:spacing w:line="280" w:lineRule="atLeast"/>
        <w:jc w:val="center"/>
        <w:rPr>
          <w:rFonts w:ascii="Garamond" w:hAnsi="Garamond"/>
          <w:b/>
        </w:rPr>
      </w:pPr>
      <w:r>
        <w:rPr>
          <w:rFonts w:ascii="Garamond" w:hAnsi="Garamond"/>
          <w:b/>
          <w:sz w:val="48"/>
        </w:rPr>
        <w:t>Kirsti Clarke</w:t>
      </w:r>
      <w:r>
        <w:rPr>
          <w:rFonts w:ascii="Garamond" w:hAnsi="Garamond"/>
          <w:b/>
          <w:sz w:val="36"/>
        </w:rPr>
        <w:t xml:space="preserve"> </w:t>
      </w:r>
      <w:r>
        <w:rPr>
          <w:rFonts w:ascii="Garamond" w:hAnsi="Garamond"/>
          <w:b/>
          <w:sz w:val="20"/>
        </w:rPr>
        <w:t>BA, ACMA</w:t>
      </w:r>
    </w:p>
    <w:p w:rsidR="00E62FD8" w:rsidRPr="00995547" w:rsidRDefault="00E62FD8">
      <w:pPr>
        <w:tabs>
          <w:tab w:val="left" w:pos="1560"/>
        </w:tabs>
        <w:jc w:val="both"/>
        <w:rPr>
          <w:rFonts w:ascii="Garamond" w:hAnsi="Garamond"/>
          <w:sz w:val="14"/>
          <w:szCs w:val="14"/>
        </w:rPr>
      </w:pPr>
    </w:p>
    <w:p w:rsidR="00E62FD8" w:rsidRDefault="00E62FD8">
      <w:pPr>
        <w:pStyle w:val="Heading4"/>
        <w:tabs>
          <w:tab w:val="clear" w:pos="1276"/>
          <w:tab w:val="left" w:pos="1560"/>
        </w:tabs>
        <w:spacing w:line="240" w:lineRule="auto"/>
        <w:jc w:val="both"/>
        <w:rPr>
          <w:rFonts w:ascii="Garamond" w:hAnsi="Garamond"/>
          <w:b w:val="0"/>
        </w:rPr>
      </w:pPr>
      <w:r>
        <w:rPr>
          <w:rFonts w:ascii="Garamond" w:hAnsi="Garamond"/>
        </w:rPr>
        <w:t>Career History</w:t>
      </w:r>
      <w:r>
        <w:rPr>
          <w:rFonts w:ascii="Garamond" w:hAnsi="Garamond"/>
          <w:b w:val="0"/>
        </w:rPr>
        <w:t xml:space="preserve">: </w:t>
      </w:r>
    </w:p>
    <w:p w:rsidR="00E62FD8" w:rsidRDefault="00E62FD8" w:rsidP="00947ACF">
      <w:pPr>
        <w:tabs>
          <w:tab w:val="left" w:pos="1560"/>
        </w:tabs>
        <w:jc w:val="both"/>
        <w:rPr>
          <w:rFonts w:ascii="Garamond" w:hAnsi="Garamond"/>
          <w:b/>
          <w:sz w:val="26"/>
        </w:rPr>
      </w:pPr>
    </w:p>
    <w:p w:rsidR="004927F4" w:rsidRDefault="004927F4" w:rsidP="004927F4">
      <w:pPr>
        <w:tabs>
          <w:tab w:val="left" w:pos="1560"/>
        </w:tabs>
        <w:jc w:val="both"/>
        <w:rPr>
          <w:rFonts w:ascii="Garamond" w:hAnsi="Garamond"/>
          <w:sz w:val="26"/>
        </w:rPr>
      </w:pPr>
      <w:r>
        <w:rPr>
          <w:rFonts w:ascii="Garamond" w:hAnsi="Garamond"/>
          <w:b/>
          <w:sz w:val="26"/>
        </w:rPr>
        <w:t xml:space="preserve">Hewlett Packard </w:t>
      </w:r>
      <w:r w:rsidRPr="00A37E9A">
        <w:rPr>
          <w:rFonts w:ascii="Garamond" w:hAnsi="Garamond"/>
          <w:sz w:val="26"/>
        </w:rPr>
        <w:t>(Contractor)</w:t>
      </w:r>
    </w:p>
    <w:p w:rsidR="004927F4" w:rsidRDefault="004927F4" w:rsidP="00995547">
      <w:pPr>
        <w:pStyle w:val="Heading8"/>
        <w:tabs>
          <w:tab w:val="clear" w:pos="1276"/>
          <w:tab w:val="left" w:pos="7797"/>
        </w:tabs>
        <w:ind w:left="567"/>
        <w:jc w:val="both"/>
        <w:rPr>
          <w:rFonts w:ascii="Garamond" w:hAnsi="Garamond"/>
        </w:rPr>
      </w:pPr>
      <w:r>
        <w:rPr>
          <w:rFonts w:ascii="Garamond" w:hAnsi="Garamond"/>
          <w:b/>
          <w:sz w:val="26"/>
        </w:rPr>
        <w:t>Statutory Tax Accountant</w:t>
      </w:r>
      <w:r>
        <w:rPr>
          <w:rFonts w:ascii="Garamond" w:hAnsi="Garamond"/>
          <w:u w:val="none"/>
        </w:rPr>
        <w:tab/>
      </w:r>
      <w:r>
        <w:rPr>
          <w:rFonts w:ascii="Garamond" w:hAnsi="Garamond"/>
          <w:b/>
          <w:u w:val="none"/>
        </w:rPr>
        <w:t>Mar 11 – present</w:t>
      </w:r>
    </w:p>
    <w:p w:rsidR="004927F4" w:rsidRDefault="004927F4" w:rsidP="004927F4">
      <w:pPr>
        <w:jc w:val="both"/>
        <w:rPr>
          <w:rFonts w:ascii="Garamond" w:hAnsi="Garamond"/>
          <w:sz w:val="12"/>
        </w:rPr>
      </w:pPr>
    </w:p>
    <w:p w:rsidR="00B6276A" w:rsidRPr="00B6276A" w:rsidRDefault="00B6276A" w:rsidP="00B6276A">
      <w:pPr>
        <w:numPr>
          <w:ilvl w:val="0"/>
          <w:numId w:val="15"/>
        </w:numPr>
        <w:tabs>
          <w:tab w:val="clear" w:pos="360"/>
        </w:tabs>
        <w:ind w:left="1134"/>
        <w:jc w:val="both"/>
        <w:rPr>
          <w:rFonts w:ascii="Garamond" w:hAnsi="Garamond"/>
          <w:sz w:val="24"/>
        </w:rPr>
      </w:pPr>
      <w:r>
        <w:rPr>
          <w:rFonts w:ascii="Garamond" w:hAnsi="Garamond"/>
          <w:sz w:val="24"/>
        </w:rPr>
        <w:t>Quarterly</w:t>
      </w:r>
      <w:r w:rsidRPr="00B6276A">
        <w:rPr>
          <w:rFonts w:ascii="Garamond" w:hAnsi="Garamond"/>
          <w:sz w:val="24"/>
        </w:rPr>
        <w:t xml:space="preserve"> P&amp;L forecasting for operating &amp; holdings companies in order to ascertain the annual current &amp; deferred tax expense</w:t>
      </w:r>
      <w:r w:rsidR="00843A4F">
        <w:rPr>
          <w:rFonts w:ascii="Garamond" w:hAnsi="Garamond"/>
          <w:sz w:val="24"/>
        </w:rPr>
        <w:t xml:space="preserve"> (UK and US GAAP)</w:t>
      </w:r>
      <w:r w:rsidRPr="00B6276A">
        <w:rPr>
          <w:rFonts w:ascii="Garamond" w:hAnsi="Garamond"/>
          <w:sz w:val="24"/>
        </w:rPr>
        <w:t xml:space="preserve">. </w:t>
      </w:r>
    </w:p>
    <w:p w:rsidR="00B6276A" w:rsidRPr="00B6276A" w:rsidRDefault="00B6276A" w:rsidP="00B6276A">
      <w:pPr>
        <w:numPr>
          <w:ilvl w:val="0"/>
          <w:numId w:val="15"/>
        </w:numPr>
        <w:tabs>
          <w:tab w:val="clear" w:pos="360"/>
        </w:tabs>
        <w:ind w:left="1134"/>
        <w:jc w:val="both"/>
        <w:rPr>
          <w:rFonts w:ascii="Garamond" w:hAnsi="Garamond"/>
          <w:sz w:val="24"/>
        </w:rPr>
      </w:pPr>
      <w:r w:rsidRPr="00B6276A">
        <w:rPr>
          <w:rFonts w:ascii="Garamond" w:hAnsi="Garamond"/>
          <w:sz w:val="24"/>
        </w:rPr>
        <w:t>Analy</w:t>
      </w:r>
      <w:r>
        <w:rPr>
          <w:rFonts w:ascii="Garamond" w:hAnsi="Garamond"/>
          <w:sz w:val="24"/>
        </w:rPr>
        <w:t>s</w:t>
      </w:r>
      <w:r w:rsidRPr="00B6276A">
        <w:rPr>
          <w:rFonts w:ascii="Garamond" w:hAnsi="Garamond"/>
          <w:sz w:val="24"/>
        </w:rPr>
        <w:t xml:space="preserve">ing and explaining key variances prior to submission to the Corporate Tax department.  </w:t>
      </w:r>
    </w:p>
    <w:p w:rsidR="00B6276A" w:rsidRDefault="00B6276A" w:rsidP="00B6276A">
      <w:pPr>
        <w:numPr>
          <w:ilvl w:val="0"/>
          <w:numId w:val="15"/>
        </w:numPr>
        <w:tabs>
          <w:tab w:val="clear" w:pos="360"/>
        </w:tabs>
        <w:ind w:left="1134"/>
        <w:jc w:val="both"/>
        <w:rPr>
          <w:rFonts w:ascii="Garamond" w:hAnsi="Garamond"/>
          <w:sz w:val="24"/>
        </w:rPr>
      </w:pPr>
      <w:r w:rsidRPr="00B6276A">
        <w:rPr>
          <w:rFonts w:ascii="Garamond" w:hAnsi="Garamond"/>
          <w:sz w:val="24"/>
        </w:rPr>
        <w:t>Preparation of reconciliations of movements in tax balance sheet accounts for submission to the Corporate Tax department.</w:t>
      </w:r>
    </w:p>
    <w:p w:rsidR="00843A4F" w:rsidRPr="00843A4F" w:rsidRDefault="00995547" w:rsidP="00843A4F">
      <w:pPr>
        <w:numPr>
          <w:ilvl w:val="0"/>
          <w:numId w:val="15"/>
        </w:numPr>
        <w:tabs>
          <w:tab w:val="clear" w:pos="360"/>
        </w:tabs>
        <w:ind w:left="1134"/>
        <w:jc w:val="both"/>
        <w:rPr>
          <w:rFonts w:ascii="Garamond" w:hAnsi="Garamond"/>
          <w:sz w:val="24"/>
        </w:rPr>
      </w:pPr>
      <w:r>
        <w:rPr>
          <w:rFonts w:ascii="Garamond" w:hAnsi="Garamond"/>
          <w:sz w:val="24"/>
        </w:rPr>
        <w:t>Carry out</w:t>
      </w:r>
      <w:r w:rsidR="00843A4F">
        <w:rPr>
          <w:rFonts w:ascii="Garamond" w:hAnsi="Garamond"/>
          <w:sz w:val="24"/>
        </w:rPr>
        <w:t xml:space="preserve"> the transition in </w:t>
      </w:r>
      <w:r>
        <w:rPr>
          <w:rFonts w:ascii="Garamond" w:hAnsi="Garamond"/>
          <w:sz w:val="24"/>
        </w:rPr>
        <w:t xml:space="preserve">the tax </w:t>
      </w:r>
      <w:r w:rsidR="00843A4F">
        <w:rPr>
          <w:rFonts w:ascii="Garamond" w:hAnsi="Garamond"/>
          <w:sz w:val="24"/>
        </w:rPr>
        <w:t xml:space="preserve">reporting </w:t>
      </w:r>
      <w:r>
        <w:rPr>
          <w:rFonts w:ascii="Garamond" w:hAnsi="Garamond"/>
          <w:sz w:val="24"/>
        </w:rPr>
        <w:t xml:space="preserve">process </w:t>
      </w:r>
      <w:r w:rsidR="00843A4F">
        <w:rPr>
          <w:rFonts w:ascii="Garamond" w:hAnsi="Garamond"/>
          <w:sz w:val="24"/>
        </w:rPr>
        <w:t>to Corporate Head Office</w:t>
      </w:r>
      <w:r>
        <w:rPr>
          <w:rFonts w:ascii="Garamond" w:hAnsi="Garamond"/>
          <w:sz w:val="24"/>
        </w:rPr>
        <w:t xml:space="preserve"> for a large trading services entity</w:t>
      </w:r>
      <w:r w:rsidR="00843A4F">
        <w:rPr>
          <w:rFonts w:ascii="Garamond" w:hAnsi="Garamond"/>
          <w:sz w:val="24"/>
        </w:rPr>
        <w:t>.</w:t>
      </w:r>
    </w:p>
    <w:p w:rsidR="004927F4" w:rsidRDefault="004927F4" w:rsidP="004927F4">
      <w:pPr>
        <w:tabs>
          <w:tab w:val="left" w:pos="1560"/>
        </w:tabs>
        <w:jc w:val="both"/>
        <w:rPr>
          <w:rFonts w:ascii="Garamond" w:hAnsi="Garamond"/>
          <w:b/>
          <w:sz w:val="26"/>
        </w:rPr>
      </w:pPr>
    </w:p>
    <w:p w:rsidR="00E62FD8" w:rsidRDefault="00E62FD8" w:rsidP="00947ACF">
      <w:pPr>
        <w:tabs>
          <w:tab w:val="left" w:pos="1560"/>
        </w:tabs>
        <w:jc w:val="both"/>
        <w:rPr>
          <w:rFonts w:ascii="Garamond" w:hAnsi="Garamond"/>
          <w:sz w:val="26"/>
        </w:rPr>
      </w:pPr>
      <w:proofErr w:type="spellStart"/>
      <w:r>
        <w:rPr>
          <w:rFonts w:ascii="Garamond" w:hAnsi="Garamond"/>
          <w:b/>
          <w:sz w:val="26"/>
        </w:rPr>
        <w:t>Genzyme</w:t>
      </w:r>
      <w:proofErr w:type="spellEnd"/>
      <w:r>
        <w:rPr>
          <w:rFonts w:ascii="Garamond" w:hAnsi="Garamond"/>
          <w:b/>
          <w:sz w:val="26"/>
        </w:rPr>
        <w:t xml:space="preserve"> </w:t>
      </w:r>
      <w:proofErr w:type="spellStart"/>
      <w:r>
        <w:rPr>
          <w:rFonts w:ascii="Garamond" w:hAnsi="Garamond"/>
          <w:b/>
          <w:sz w:val="26"/>
        </w:rPr>
        <w:t>Theraputics</w:t>
      </w:r>
      <w:proofErr w:type="spellEnd"/>
      <w:r>
        <w:rPr>
          <w:rFonts w:ascii="Garamond" w:hAnsi="Garamond"/>
          <w:b/>
          <w:sz w:val="26"/>
        </w:rPr>
        <w:t xml:space="preserve"> Ltd. </w:t>
      </w:r>
      <w:r w:rsidRPr="00A37E9A">
        <w:rPr>
          <w:rFonts w:ascii="Garamond" w:hAnsi="Garamond"/>
          <w:sz w:val="26"/>
        </w:rPr>
        <w:t>(Contractor)</w:t>
      </w:r>
    </w:p>
    <w:p w:rsidR="00E62FD8" w:rsidRDefault="00E62FD8" w:rsidP="00995547">
      <w:pPr>
        <w:pStyle w:val="Heading8"/>
        <w:tabs>
          <w:tab w:val="clear" w:pos="1276"/>
          <w:tab w:val="left" w:pos="7797"/>
        </w:tabs>
        <w:ind w:left="567"/>
        <w:jc w:val="both"/>
        <w:rPr>
          <w:rFonts w:ascii="Garamond" w:hAnsi="Garamond"/>
        </w:rPr>
      </w:pPr>
      <w:r>
        <w:rPr>
          <w:rFonts w:ascii="Garamond" w:hAnsi="Garamond"/>
          <w:b/>
          <w:sz w:val="26"/>
        </w:rPr>
        <w:t>Business Analyst</w:t>
      </w:r>
      <w:r>
        <w:rPr>
          <w:rFonts w:ascii="Garamond" w:hAnsi="Garamond"/>
          <w:u w:val="none"/>
        </w:rPr>
        <w:tab/>
      </w:r>
      <w:r>
        <w:rPr>
          <w:rFonts w:ascii="Garamond" w:hAnsi="Garamond"/>
          <w:b/>
          <w:u w:val="none"/>
        </w:rPr>
        <w:t xml:space="preserve">Dec 10 – </w:t>
      </w:r>
      <w:r w:rsidR="00B6276A">
        <w:rPr>
          <w:rFonts w:ascii="Garamond" w:hAnsi="Garamond"/>
          <w:b/>
          <w:u w:val="none"/>
        </w:rPr>
        <w:t>Mar 11</w:t>
      </w:r>
    </w:p>
    <w:p w:rsidR="00E62FD8" w:rsidRDefault="00E62FD8" w:rsidP="00947ACF">
      <w:pPr>
        <w:jc w:val="both"/>
        <w:rPr>
          <w:rFonts w:ascii="Garamond" w:hAnsi="Garamond"/>
          <w:sz w:val="12"/>
        </w:rPr>
      </w:pPr>
    </w:p>
    <w:p w:rsidR="00E62FD8" w:rsidRDefault="00E62FD8" w:rsidP="00B84FC4">
      <w:pPr>
        <w:numPr>
          <w:ilvl w:val="0"/>
          <w:numId w:val="15"/>
        </w:numPr>
        <w:tabs>
          <w:tab w:val="clear" w:pos="360"/>
        </w:tabs>
        <w:ind w:left="1134"/>
        <w:jc w:val="both"/>
        <w:rPr>
          <w:rFonts w:ascii="Garamond" w:hAnsi="Garamond"/>
          <w:sz w:val="24"/>
        </w:rPr>
      </w:pPr>
      <w:r>
        <w:rPr>
          <w:rFonts w:ascii="Garamond" w:hAnsi="Garamond"/>
          <w:sz w:val="24"/>
        </w:rPr>
        <w:t>Managing the Business Units P&amp;L’s against forecast, tracking Revenue &amp; OPEX; flagging risks and giving detailed explanation of variances.</w:t>
      </w:r>
    </w:p>
    <w:p w:rsidR="00E62FD8" w:rsidRDefault="00E62FD8" w:rsidP="00A37E9A">
      <w:pPr>
        <w:numPr>
          <w:ilvl w:val="0"/>
          <w:numId w:val="15"/>
        </w:numPr>
        <w:tabs>
          <w:tab w:val="clear" w:pos="360"/>
        </w:tabs>
        <w:ind w:left="1134"/>
        <w:jc w:val="both"/>
        <w:rPr>
          <w:rFonts w:ascii="Garamond" w:hAnsi="Garamond"/>
          <w:sz w:val="24"/>
        </w:rPr>
      </w:pPr>
      <w:r>
        <w:rPr>
          <w:rFonts w:ascii="Garamond" w:hAnsi="Garamond"/>
          <w:sz w:val="24"/>
        </w:rPr>
        <w:t>Facilitating the transition of sales reporting onto Business Intelligence system.</w:t>
      </w:r>
    </w:p>
    <w:p w:rsidR="00E62FD8" w:rsidRDefault="00E62FD8" w:rsidP="00947ACF">
      <w:pPr>
        <w:tabs>
          <w:tab w:val="left" w:pos="1560"/>
        </w:tabs>
        <w:jc w:val="both"/>
        <w:rPr>
          <w:rFonts w:ascii="Garamond" w:hAnsi="Garamond"/>
          <w:b/>
          <w:sz w:val="26"/>
        </w:rPr>
      </w:pPr>
    </w:p>
    <w:p w:rsidR="00E62FD8" w:rsidRPr="00947ACF" w:rsidRDefault="00E62FD8" w:rsidP="00995547">
      <w:pPr>
        <w:pStyle w:val="Heading8"/>
        <w:tabs>
          <w:tab w:val="clear" w:pos="1276"/>
          <w:tab w:val="left" w:pos="7797"/>
        </w:tabs>
        <w:ind w:left="0"/>
        <w:jc w:val="both"/>
        <w:rPr>
          <w:rFonts w:ascii="Garamond" w:hAnsi="Garamond"/>
          <w:b/>
          <w:sz w:val="26"/>
        </w:rPr>
      </w:pPr>
      <w:r>
        <w:rPr>
          <w:rFonts w:ascii="Garamond" w:hAnsi="Garamond"/>
          <w:b/>
          <w:sz w:val="26"/>
        </w:rPr>
        <w:t xml:space="preserve">Career </w:t>
      </w:r>
      <w:r w:rsidRPr="00947ACF">
        <w:rPr>
          <w:rFonts w:ascii="Garamond" w:hAnsi="Garamond"/>
          <w:b/>
          <w:sz w:val="26"/>
        </w:rPr>
        <w:t>Break</w:t>
      </w:r>
      <w:r w:rsidRPr="00947ACF">
        <w:rPr>
          <w:rFonts w:ascii="Garamond" w:hAnsi="Garamond"/>
          <w:b/>
          <w:sz w:val="26"/>
          <w:u w:val="none"/>
        </w:rPr>
        <w:tab/>
      </w:r>
      <w:r w:rsidRPr="00947ACF">
        <w:rPr>
          <w:rFonts w:ascii="Garamond" w:hAnsi="Garamond"/>
          <w:b/>
          <w:szCs w:val="24"/>
          <w:u w:val="none"/>
        </w:rPr>
        <w:t>Oct 10 – Nov 10</w:t>
      </w:r>
    </w:p>
    <w:p w:rsidR="00E62FD8" w:rsidRDefault="00E62FD8" w:rsidP="00947ACF">
      <w:pPr>
        <w:numPr>
          <w:ilvl w:val="0"/>
          <w:numId w:val="15"/>
        </w:numPr>
        <w:tabs>
          <w:tab w:val="clear" w:pos="360"/>
        </w:tabs>
        <w:ind w:left="1134"/>
        <w:jc w:val="both"/>
        <w:rPr>
          <w:rFonts w:ascii="Garamond" w:hAnsi="Garamond"/>
          <w:sz w:val="24"/>
        </w:rPr>
      </w:pPr>
      <w:r>
        <w:rPr>
          <w:rFonts w:ascii="Garamond" w:hAnsi="Garamond"/>
          <w:sz w:val="24"/>
        </w:rPr>
        <w:t>Bicycle trip in the South West</w:t>
      </w:r>
    </w:p>
    <w:p w:rsidR="00E62FD8" w:rsidRDefault="00E62FD8" w:rsidP="00947ACF">
      <w:pPr>
        <w:numPr>
          <w:ilvl w:val="0"/>
          <w:numId w:val="15"/>
        </w:numPr>
        <w:tabs>
          <w:tab w:val="clear" w:pos="360"/>
        </w:tabs>
        <w:ind w:left="1134"/>
        <w:jc w:val="both"/>
        <w:rPr>
          <w:rFonts w:ascii="Garamond" w:hAnsi="Garamond"/>
          <w:sz w:val="24"/>
        </w:rPr>
      </w:pPr>
      <w:r>
        <w:rPr>
          <w:rFonts w:ascii="Garamond" w:hAnsi="Garamond"/>
          <w:sz w:val="24"/>
        </w:rPr>
        <w:t xml:space="preserve">Research family history (back to late 1600’s) </w:t>
      </w:r>
    </w:p>
    <w:p w:rsidR="00E62FD8" w:rsidRDefault="00E62FD8">
      <w:pPr>
        <w:tabs>
          <w:tab w:val="left" w:pos="1560"/>
        </w:tabs>
        <w:jc w:val="both"/>
        <w:rPr>
          <w:rFonts w:ascii="Garamond" w:hAnsi="Garamond"/>
          <w:b/>
        </w:rPr>
      </w:pPr>
    </w:p>
    <w:p w:rsidR="00E62FD8" w:rsidRDefault="00E62FD8">
      <w:pPr>
        <w:tabs>
          <w:tab w:val="left" w:pos="1560"/>
        </w:tabs>
        <w:jc w:val="both"/>
        <w:rPr>
          <w:rFonts w:ascii="Garamond" w:hAnsi="Garamond"/>
          <w:sz w:val="26"/>
        </w:rPr>
      </w:pPr>
      <w:r>
        <w:rPr>
          <w:rFonts w:ascii="Garamond" w:hAnsi="Garamond"/>
          <w:b/>
          <w:sz w:val="26"/>
        </w:rPr>
        <w:t>Dixons Retail plc.</w:t>
      </w:r>
    </w:p>
    <w:p w:rsidR="00E62FD8" w:rsidRDefault="00E62FD8">
      <w:pPr>
        <w:tabs>
          <w:tab w:val="left" w:pos="8080"/>
        </w:tabs>
        <w:jc w:val="both"/>
        <w:rPr>
          <w:rFonts w:ascii="Garamond" w:hAnsi="Garamond"/>
          <w:b/>
          <w:sz w:val="24"/>
        </w:rPr>
      </w:pPr>
      <w:r>
        <w:rPr>
          <w:rFonts w:ascii="Garamond" w:hAnsi="Garamond"/>
          <w:sz w:val="24"/>
        </w:rPr>
        <w:t>2002 – 2010</w:t>
      </w:r>
      <w:r>
        <w:rPr>
          <w:rFonts w:ascii="Garamond" w:hAnsi="Garamond"/>
          <w:b/>
          <w:sz w:val="24"/>
        </w:rPr>
        <w:t xml:space="preserve"> </w:t>
      </w:r>
    </w:p>
    <w:p w:rsidR="00E62FD8" w:rsidRPr="00B6276A" w:rsidRDefault="00E62FD8">
      <w:pPr>
        <w:rPr>
          <w:rFonts w:ascii="Garamond" w:hAnsi="Garamond"/>
          <w:sz w:val="16"/>
          <w:szCs w:val="16"/>
        </w:rPr>
      </w:pPr>
    </w:p>
    <w:p w:rsidR="00E62FD8" w:rsidRDefault="00E62FD8" w:rsidP="00995547">
      <w:pPr>
        <w:pStyle w:val="Heading8"/>
        <w:tabs>
          <w:tab w:val="clear" w:pos="1276"/>
          <w:tab w:val="left" w:pos="7797"/>
        </w:tabs>
        <w:ind w:left="567"/>
        <w:jc w:val="both"/>
        <w:rPr>
          <w:rFonts w:ascii="Garamond" w:hAnsi="Garamond"/>
        </w:rPr>
      </w:pPr>
      <w:r>
        <w:rPr>
          <w:rFonts w:ascii="Garamond" w:hAnsi="Garamond"/>
          <w:b/>
          <w:sz w:val="26"/>
        </w:rPr>
        <w:t>Tax Accountant</w:t>
      </w:r>
      <w:r>
        <w:rPr>
          <w:rFonts w:ascii="Garamond" w:hAnsi="Garamond"/>
          <w:u w:val="none"/>
        </w:rPr>
        <w:tab/>
      </w:r>
      <w:r>
        <w:rPr>
          <w:rFonts w:ascii="Garamond" w:hAnsi="Garamond"/>
          <w:b/>
          <w:u w:val="none"/>
        </w:rPr>
        <w:t>June 07 – Sept 10</w:t>
      </w:r>
    </w:p>
    <w:p w:rsidR="00E62FD8" w:rsidRDefault="00E62FD8">
      <w:pPr>
        <w:jc w:val="both"/>
        <w:rPr>
          <w:rFonts w:ascii="Garamond" w:hAnsi="Garamond"/>
          <w:sz w:val="12"/>
        </w:rPr>
      </w:pP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 xml:space="preserve">Managing and updating the compliance process of completing the </w:t>
      </w:r>
      <w:smartTag w:uri="urn:schemas-microsoft-com:office:smarttags" w:element="PlaceName">
        <w:r>
          <w:rPr>
            <w:rFonts w:ascii="Garamond" w:hAnsi="Garamond"/>
            <w:sz w:val="24"/>
          </w:rPr>
          <w:t>UK</w:t>
        </w:r>
      </w:smartTag>
      <w:r>
        <w:rPr>
          <w:rFonts w:ascii="Garamond" w:hAnsi="Garamond"/>
          <w:sz w:val="24"/>
        </w:rPr>
        <w:t xml:space="preserve"> tax returns (for 20 active entities), including calculating tax payments and repayments and managing claims and elections.  </w:t>
      </w:r>
    </w:p>
    <w:p w:rsidR="00E62FD8" w:rsidRDefault="00E62FD8">
      <w:pPr>
        <w:numPr>
          <w:ilvl w:val="0"/>
          <w:numId w:val="15"/>
        </w:numPr>
        <w:tabs>
          <w:tab w:val="clear" w:pos="360"/>
        </w:tabs>
        <w:ind w:left="1134"/>
        <w:jc w:val="both"/>
        <w:rPr>
          <w:rFonts w:ascii="Garamond" w:hAnsi="Garamond"/>
          <w:sz w:val="24"/>
        </w:rPr>
      </w:pPr>
      <w:proofErr w:type="spellStart"/>
      <w:r>
        <w:rPr>
          <w:rFonts w:ascii="Garamond" w:hAnsi="Garamond"/>
          <w:sz w:val="24"/>
        </w:rPr>
        <w:t>Liasing</w:t>
      </w:r>
      <w:proofErr w:type="spellEnd"/>
      <w:r>
        <w:rPr>
          <w:rFonts w:ascii="Garamond" w:hAnsi="Garamond"/>
          <w:sz w:val="24"/>
        </w:rPr>
        <w:t xml:space="preserve"> with a variety of internal departments (e.g. Chain Finance, Group Finance, and Treasury) and tax advisers to ensure accuracy in the compliance process, which demands strong written and verbal communication skills.</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Reviewing the tax position of group companies, incorporating preparation of group tax summaries and considering the optimal use of losses and allowances.</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 xml:space="preserve">Tax provisioning work for statutory accounts of </w:t>
      </w:r>
      <w:smartTag w:uri="urn:schemas-microsoft-com:office:smarttags" w:element="PlaceName">
        <w:r>
          <w:rPr>
            <w:rFonts w:ascii="Garamond" w:hAnsi="Garamond"/>
            <w:sz w:val="24"/>
          </w:rPr>
          <w:t>UK</w:t>
        </w:r>
      </w:smartTag>
      <w:r>
        <w:rPr>
          <w:rFonts w:ascii="Garamond" w:hAnsi="Garamond"/>
          <w:sz w:val="24"/>
        </w:rPr>
        <w:t xml:space="preserve"> companies, including preparing and reviewing UK GAAP tax disclosures.</w:t>
      </w:r>
    </w:p>
    <w:p w:rsidR="00E62FD8" w:rsidRDefault="00E62FD8">
      <w:pPr>
        <w:numPr>
          <w:ilvl w:val="0"/>
          <w:numId w:val="15"/>
        </w:numPr>
        <w:tabs>
          <w:tab w:val="clear" w:pos="360"/>
        </w:tabs>
        <w:ind w:left="1134"/>
        <w:jc w:val="both"/>
        <w:rPr>
          <w:rFonts w:ascii="Garamond" w:hAnsi="Garamond"/>
          <w:sz w:val="24"/>
        </w:rPr>
      </w:pPr>
      <w:proofErr w:type="spellStart"/>
      <w:r>
        <w:rPr>
          <w:rFonts w:ascii="Garamond" w:hAnsi="Garamond"/>
          <w:sz w:val="24"/>
        </w:rPr>
        <w:t>Liasing</w:t>
      </w:r>
      <w:proofErr w:type="spellEnd"/>
      <w:r>
        <w:rPr>
          <w:rFonts w:ascii="Garamond" w:hAnsi="Garamond"/>
          <w:sz w:val="24"/>
        </w:rPr>
        <w:t xml:space="preserve"> with tax authorities on prior year enquiry resolution, e.g. substantiating tax treatment of </w:t>
      </w:r>
      <w:smartTag w:uri="urn:schemas-microsoft-com:office:smarttags" w:element="PlaceName">
        <w:r>
          <w:rPr>
            <w:rFonts w:ascii="Garamond" w:hAnsi="Garamond"/>
            <w:sz w:val="24"/>
          </w:rPr>
          <w:t>UK</w:t>
        </w:r>
      </w:smartTag>
      <w:r>
        <w:rPr>
          <w:rFonts w:ascii="Garamond" w:hAnsi="Garamond"/>
          <w:sz w:val="24"/>
        </w:rPr>
        <w:t xml:space="preserve"> property provisions and amending double tax relief claims.</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Year-end planning and reporting for the group, including calculation of the group tax charge and providing input into statutory accounts presentation.  This included consideration of deferred tax implications of IFRS adjustments in the group accounts, in particular the treatment of leases under IAS 17 and hedging transactions under IAS 39.</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Responsible for collating and filing the PAYE settlement agreement and acting as point of contact for group HR on ad hoc employee tax issues.  Through my communication of spend trends, the company was able to reduce taxable spend in 2009/10 by over £1m, saving over £500k on income tax and National Insurance.</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Consideration of EU matters relevant to an international group, including Controlled Foreign Company compliance, cross-border loss relief, transfer pricing and the taxation of foreign profits.</w:t>
      </w:r>
    </w:p>
    <w:p w:rsidR="00E62FD8" w:rsidRDefault="00E62FD8">
      <w:pPr>
        <w:rPr>
          <w:rFonts w:ascii="Garamond" w:hAnsi="Garamond"/>
          <w:sz w:val="12"/>
        </w:rPr>
      </w:pPr>
    </w:p>
    <w:p w:rsidR="00E62FD8" w:rsidRDefault="00E62FD8" w:rsidP="00995547">
      <w:pPr>
        <w:pStyle w:val="Heading8"/>
        <w:tabs>
          <w:tab w:val="clear" w:pos="1276"/>
          <w:tab w:val="left" w:pos="7797"/>
        </w:tabs>
        <w:ind w:left="567"/>
        <w:jc w:val="both"/>
        <w:rPr>
          <w:rFonts w:ascii="Garamond" w:hAnsi="Garamond"/>
        </w:rPr>
      </w:pPr>
      <w:proofErr w:type="spellStart"/>
      <w:r>
        <w:rPr>
          <w:rFonts w:ascii="Garamond" w:hAnsi="Garamond"/>
          <w:b/>
          <w:sz w:val="26"/>
        </w:rPr>
        <w:t>Currys</w:t>
      </w:r>
      <w:proofErr w:type="spellEnd"/>
      <w:r>
        <w:rPr>
          <w:rFonts w:ascii="Garamond" w:hAnsi="Garamond"/>
          <w:b/>
          <w:sz w:val="26"/>
        </w:rPr>
        <w:t xml:space="preserve"> (shared service) Finance Manager</w:t>
      </w:r>
      <w:r>
        <w:rPr>
          <w:rFonts w:ascii="Garamond" w:hAnsi="Garamond"/>
          <w:u w:val="none"/>
        </w:rPr>
        <w:tab/>
      </w:r>
      <w:r>
        <w:rPr>
          <w:rFonts w:ascii="Garamond" w:hAnsi="Garamond"/>
          <w:b/>
          <w:u w:val="none"/>
        </w:rPr>
        <w:t>Nov 06 – May 07</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 xml:space="preserve">Developed and exercised financial control of the </w:t>
      </w:r>
      <w:smartTag w:uri="urn:schemas-microsoft-com:office:smarttags" w:element="PlaceName">
        <w:r>
          <w:rPr>
            <w:rFonts w:ascii="Garamond" w:hAnsi="Garamond"/>
            <w:sz w:val="24"/>
          </w:rPr>
          <w:t>UK</w:t>
        </w:r>
      </w:smartTag>
      <w:r>
        <w:rPr>
          <w:rFonts w:ascii="Garamond" w:hAnsi="Garamond"/>
          <w:sz w:val="24"/>
        </w:rPr>
        <w:t xml:space="preserve"> online businesses for Dixons Retail plc. (</w:t>
      </w:r>
      <w:proofErr w:type="gramStart"/>
      <w:r>
        <w:rPr>
          <w:rFonts w:ascii="Garamond" w:hAnsi="Garamond"/>
          <w:sz w:val="24"/>
        </w:rPr>
        <w:t>annual</w:t>
      </w:r>
      <w:proofErr w:type="gramEnd"/>
      <w:r>
        <w:rPr>
          <w:rFonts w:ascii="Garamond" w:hAnsi="Garamond"/>
          <w:sz w:val="24"/>
        </w:rPr>
        <w:t xml:space="preserve"> revenue of £290m.)</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Managed the performance and development of two finance analysts.</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Reviewed the cost drivers of the online business and revised the methods of collecting financial data to better support the decision making process.</w:t>
      </w:r>
    </w:p>
    <w:p w:rsidR="00E62FD8" w:rsidRDefault="00E62FD8">
      <w:pPr>
        <w:rPr>
          <w:rFonts w:ascii="Garamond" w:hAnsi="Garamond"/>
        </w:rPr>
      </w:pPr>
    </w:p>
    <w:p w:rsidR="00E62FD8" w:rsidRDefault="00E62FD8" w:rsidP="00995547">
      <w:pPr>
        <w:pStyle w:val="Heading8"/>
        <w:tabs>
          <w:tab w:val="clear" w:pos="1276"/>
          <w:tab w:val="left" w:pos="7797"/>
        </w:tabs>
        <w:ind w:left="567"/>
        <w:jc w:val="both"/>
        <w:rPr>
          <w:rFonts w:ascii="Garamond" w:hAnsi="Garamond"/>
        </w:rPr>
      </w:pPr>
      <w:r>
        <w:rPr>
          <w:rFonts w:ascii="Garamond" w:hAnsi="Garamond"/>
          <w:b/>
          <w:sz w:val="26"/>
        </w:rPr>
        <w:t>Home Delivery Finance Manager</w:t>
      </w:r>
      <w:r>
        <w:rPr>
          <w:rFonts w:ascii="Garamond" w:hAnsi="Garamond"/>
          <w:u w:val="none"/>
        </w:rPr>
        <w:tab/>
      </w:r>
      <w:r>
        <w:rPr>
          <w:rFonts w:ascii="Garamond" w:hAnsi="Garamond"/>
          <w:b/>
          <w:u w:val="none"/>
        </w:rPr>
        <w:t>Jul 05 – Nov 06</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Responsible for financial control of the cost accounts for the 17 home delivery distribution sites (over £60 million in cost and £30m revenue).</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Involved preparation and analysis of management accounts as well as communication and presentation to senior management.</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Designed and implemented a new detailed budget model, to assist ownership and promote awareness of cost drivers and facilitate KPI analysis against actual spend.</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Improved cost control through revision of standard reports and improved communication with site managers (including regular site visits).</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Provided balance sheet reconciliations by cost centre and managed centrally controlled accruals, with periodic exposures reported to Finance Director.</w:t>
      </w:r>
    </w:p>
    <w:p w:rsidR="00E62FD8" w:rsidRDefault="00E62FD8">
      <w:pPr>
        <w:numPr>
          <w:ilvl w:val="0"/>
          <w:numId w:val="15"/>
        </w:numPr>
        <w:tabs>
          <w:tab w:val="clear" w:pos="360"/>
        </w:tabs>
        <w:ind w:left="1134"/>
        <w:jc w:val="both"/>
        <w:rPr>
          <w:rFonts w:ascii="Garamond" w:hAnsi="Garamond"/>
          <w:sz w:val="24"/>
        </w:rPr>
      </w:pPr>
      <w:r>
        <w:rPr>
          <w:rFonts w:ascii="Garamond" w:hAnsi="Garamond"/>
          <w:sz w:val="24"/>
        </w:rPr>
        <w:t>Preparation of statutory financial accounts for the distribution statutory entity within Dixons Retail plc.</w:t>
      </w:r>
    </w:p>
    <w:p w:rsidR="00E62FD8" w:rsidRPr="00A37E9A" w:rsidRDefault="00E62FD8">
      <w:pPr>
        <w:rPr>
          <w:rFonts w:ascii="Garamond" w:hAnsi="Garamond"/>
          <w:sz w:val="18"/>
          <w:szCs w:val="18"/>
        </w:rPr>
      </w:pPr>
    </w:p>
    <w:p w:rsidR="00E62FD8" w:rsidRDefault="00E62FD8" w:rsidP="00995547">
      <w:pPr>
        <w:pStyle w:val="Heading8"/>
        <w:tabs>
          <w:tab w:val="clear" w:pos="1276"/>
          <w:tab w:val="left" w:pos="7797"/>
        </w:tabs>
        <w:ind w:left="567"/>
        <w:jc w:val="both"/>
        <w:rPr>
          <w:rFonts w:ascii="Garamond" w:hAnsi="Garamond"/>
        </w:rPr>
      </w:pPr>
      <w:r>
        <w:rPr>
          <w:rFonts w:ascii="Garamond" w:hAnsi="Garamond"/>
          <w:b/>
          <w:sz w:val="26"/>
        </w:rPr>
        <w:t>Finance graduate scheme</w:t>
      </w:r>
      <w:r>
        <w:rPr>
          <w:rFonts w:ascii="Garamond" w:hAnsi="Garamond"/>
          <w:u w:val="none"/>
        </w:rPr>
        <w:tab/>
      </w:r>
      <w:r>
        <w:rPr>
          <w:rFonts w:ascii="Garamond" w:hAnsi="Garamond"/>
          <w:b/>
          <w:u w:val="none"/>
        </w:rPr>
        <w:t>Sept 02 – June 05</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 xml:space="preserve">Accurate daily production of the sales and margin reports of the group for the chairman and senior management. </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Organised the timetable of 9 finance analysts to produce the group’s daily sales and margin report for the chairman and senior management that showed variance to budget, forecast and prior year.</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Presented financial data weekly to chains and operations.</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Analysed and interpreted weekly and periodic sales variance reports, which were distributed to senior management.</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Collated forecasted sales and margin data through co-ordination of over 15 category marketing teams.  Periodic reviews with trading directors to challenge and agree forecasts.</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Assisted in preparing and interpreting management accounts for the international group on a monthly basis.</w:t>
      </w:r>
    </w:p>
    <w:p w:rsidR="00E62FD8" w:rsidRDefault="00E62FD8">
      <w:pPr>
        <w:numPr>
          <w:ilvl w:val="0"/>
          <w:numId w:val="15"/>
        </w:numPr>
        <w:tabs>
          <w:tab w:val="clear" w:pos="360"/>
        </w:tabs>
        <w:ind w:left="993"/>
        <w:jc w:val="both"/>
        <w:rPr>
          <w:rFonts w:ascii="Garamond" w:hAnsi="Garamond"/>
          <w:sz w:val="24"/>
        </w:rPr>
      </w:pPr>
      <w:r>
        <w:rPr>
          <w:rFonts w:ascii="Garamond" w:hAnsi="Garamond"/>
          <w:sz w:val="24"/>
        </w:rPr>
        <w:t xml:space="preserve">Responsible for reconciling the marketing and advertising spend for the online businesses. </w:t>
      </w:r>
    </w:p>
    <w:p w:rsidR="00B6276A" w:rsidRDefault="00B6276A">
      <w:pPr>
        <w:tabs>
          <w:tab w:val="left" w:pos="1560"/>
        </w:tabs>
        <w:jc w:val="both"/>
        <w:rPr>
          <w:rFonts w:ascii="Garamond" w:hAnsi="Garamond"/>
          <w:sz w:val="18"/>
        </w:rPr>
      </w:pPr>
    </w:p>
    <w:p w:rsidR="00B6276A" w:rsidRDefault="00B6276A">
      <w:pPr>
        <w:tabs>
          <w:tab w:val="left" w:pos="1560"/>
        </w:tabs>
        <w:jc w:val="both"/>
        <w:rPr>
          <w:rFonts w:ascii="Garamond" w:hAnsi="Garamond"/>
          <w:sz w:val="18"/>
        </w:rPr>
      </w:pPr>
    </w:p>
    <w:p w:rsidR="00E62FD8" w:rsidRDefault="00E62FD8">
      <w:pPr>
        <w:tabs>
          <w:tab w:val="left" w:pos="1560"/>
          <w:tab w:val="left" w:pos="8222"/>
        </w:tabs>
        <w:jc w:val="both"/>
        <w:rPr>
          <w:rFonts w:ascii="Garamond" w:hAnsi="Garamond"/>
          <w:sz w:val="24"/>
        </w:rPr>
      </w:pPr>
      <w:r>
        <w:rPr>
          <w:rFonts w:ascii="Garamond" w:hAnsi="Garamond"/>
          <w:sz w:val="24"/>
        </w:rPr>
        <w:t>2000 – 2001</w:t>
      </w:r>
      <w:r>
        <w:rPr>
          <w:rFonts w:ascii="Garamond" w:hAnsi="Garamond"/>
          <w:b/>
          <w:sz w:val="24"/>
        </w:rPr>
        <w:tab/>
        <w:t>The Rank Group</w:t>
      </w:r>
      <w:r>
        <w:rPr>
          <w:rFonts w:ascii="Garamond" w:hAnsi="Garamond"/>
          <w:sz w:val="24"/>
        </w:rPr>
        <w:t xml:space="preserve"> – holiday division </w:t>
      </w:r>
      <w:r>
        <w:rPr>
          <w:rFonts w:ascii="Garamond" w:hAnsi="Garamond"/>
          <w:sz w:val="24"/>
        </w:rPr>
        <w:tab/>
      </w:r>
    </w:p>
    <w:p w:rsidR="00E62FD8" w:rsidRDefault="00E62FD8">
      <w:pPr>
        <w:pStyle w:val="Heading9"/>
        <w:spacing w:line="240" w:lineRule="auto"/>
        <w:rPr>
          <w:rFonts w:ascii="Garamond" w:hAnsi="Garamond"/>
        </w:rPr>
      </w:pPr>
      <w:r>
        <w:rPr>
          <w:rFonts w:ascii="Garamond" w:hAnsi="Garamond"/>
        </w:rPr>
        <w:tab/>
        <w:t>A year in industry as part of my degree, working in various finance functions and HR systems</w:t>
      </w:r>
    </w:p>
    <w:p w:rsidR="00FB01FF" w:rsidRDefault="00FB01FF" w:rsidP="00947ACF">
      <w:pPr>
        <w:pStyle w:val="Heading4"/>
        <w:rPr>
          <w:sz w:val="14"/>
          <w:szCs w:val="14"/>
        </w:rPr>
      </w:pPr>
    </w:p>
    <w:p w:rsidR="00E62FD8" w:rsidRDefault="00E62FD8" w:rsidP="00947ACF">
      <w:pPr>
        <w:pStyle w:val="Heading4"/>
        <w:rPr>
          <w:sz w:val="22"/>
        </w:rPr>
      </w:pPr>
      <w:r>
        <w:t>Education</w:t>
      </w:r>
      <w:r>
        <w:rPr>
          <w:sz w:val="22"/>
        </w:rPr>
        <w:t>:</w:t>
      </w:r>
    </w:p>
    <w:p w:rsidR="00E62FD8" w:rsidRPr="00947ACF" w:rsidRDefault="00E62FD8" w:rsidP="00947ACF">
      <w:pPr>
        <w:tabs>
          <w:tab w:val="left" w:pos="1276"/>
        </w:tabs>
        <w:jc w:val="both"/>
        <w:rPr>
          <w:rFonts w:ascii="Garamond" w:hAnsi="Garamond"/>
          <w:sz w:val="12"/>
          <w:szCs w:val="12"/>
        </w:rPr>
      </w:pPr>
    </w:p>
    <w:p w:rsidR="00E62FD8" w:rsidRDefault="004927F4" w:rsidP="00947ACF">
      <w:pPr>
        <w:tabs>
          <w:tab w:val="left" w:pos="1560"/>
        </w:tabs>
        <w:jc w:val="both"/>
        <w:rPr>
          <w:rFonts w:ascii="Garamond" w:hAnsi="Garamond"/>
          <w:sz w:val="24"/>
        </w:rPr>
      </w:pPr>
      <w:r>
        <w:rPr>
          <w:rFonts w:ascii="Garamond" w:hAnsi="Garamond"/>
          <w:sz w:val="24"/>
        </w:rPr>
        <w:t>2008 – 2011</w:t>
      </w:r>
      <w:r w:rsidR="00E62FD8">
        <w:rPr>
          <w:rFonts w:ascii="Garamond" w:hAnsi="Garamond"/>
          <w:sz w:val="24"/>
        </w:rPr>
        <w:t xml:space="preserve"> </w:t>
      </w:r>
      <w:r w:rsidR="00E62FD8">
        <w:rPr>
          <w:rFonts w:ascii="Garamond" w:hAnsi="Garamond"/>
          <w:sz w:val="24"/>
        </w:rPr>
        <w:tab/>
      </w:r>
      <w:r w:rsidR="00E62FD8">
        <w:rPr>
          <w:rFonts w:ascii="Garamond" w:hAnsi="Garamond"/>
          <w:b/>
          <w:sz w:val="24"/>
        </w:rPr>
        <w:t>CTA</w:t>
      </w:r>
      <w:r w:rsidR="00E62FD8">
        <w:rPr>
          <w:rFonts w:ascii="Garamond" w:hAnsi="Garamond"/>
          <w:sz w:val="24"/>
        </w:rPr>
        <w:t xml:space="preserve"> – Passed exams July 20</w:t>
      </w:r>
      <w:r>
        <w:rPr>
          <w:rFonts w:ascii="Garamond" w:hAnsi="Garamond"/>
          <w:sz w:val="24"/>
        </w:rPr>
        <w:t xml:space="preserve">11 </w:t>
      </w:r>
    </w:p>
    <w:p w:rsidR="00E62FD8" w:rsidRPr="00947ACF" w:rsidRDefault="00E62FD8" w:rsidP="00947ACF">
      <w:pPr>
        <w:tabs>
          <w:tab w:val="left" w:pos="1560"/>
        </w:tabs>
        <w:jc w:val="both"/>
        <w:rPr>
          <w:rFonts w:ascii="Garamond" w:hAnsi="Garamond"/>
          <w:sz w:val="4"/>
          <w:szCs w:val="4"/>
        </w:rPr>
      </w:pPr>
    </w:p>
    <w:p w:rsidR="00E62FD8" w:rsidRDefault="00E62FD8" w:rsidP="00947ACF">
      <w:pPr>
        <w:tabs>
          <w:tab w:val="left" w:pos="1560"/>
        </w:tabs>
        <w:jc w:val="both"/>
        <w:rPr>
          <w:rFonts w:ascii="Garamond" w:hAnsi="Garamond"/>
          <w:sz w:val="24"/>
        </w:rPr>
      </w:pPr>
      <w:r>
        <w:rPr>
          <w:rFonts w:ascii="Garamond" w:hAnsi="Garamond"/>
          <w:sz w:val="24"/>
        </w:rPr>
        <w:t xml:space="preserve">2007 – 2008 </w:t>
      </w:r>
      <w:r>
        <w:rPr>
          <w:rFonts w:ascii="Garamond" w:hAnsi="Garamond"/>
          <w:sz w:val="24"/>
        </w:rPr>
        <w:tab/>
      </w:r>
      <w:r>
        <w:rPr>
          <w:rFonts w:ascii="Garamond" w:hAnsi="Garamond"/>
          <w:b/>
          <w:sz w:val="24"/>
        </w:rPr>
        <w:t>ATT</w:t>
      </w:r>
      <w:r>
        <w:rPr>
          <w:rFonts w:ascii="Garamond" w:hAnsi="Garamond"/>
          <w:sz w:val="24"/>
        </w:rPr>
        <w:t xml:space="preserve"> – Passed exams July 2008 </w:t>
      </w:r>
      <w:r w:rsidRPr="00947ACF">
        <w:rPr>
          <w:rFonts w:ascii="Garamond" w:hAnsi="Garamond"/>
          <w:i/>
          <w:sz w:val="24"/>
        </w:rPr>
        <w:t>(first time pass)</w:t>
      </w:r>
    </w:p>
    <w:p w:rsidR="00E62FD8" w:rsidRPr="00947ACF" w:rsidRDefault="00E62FD8" w:rsidP="00947ACF">
      <w:pPr>
        <w:tabs>
          <w:tab w:val="left" w:pos="1560"/>
        </w:tabs>
        <w:jc w:val="both"/>
        <w:rPr>
          <w:rFonts w:ascii="Garamond" w:hAnsi="Garamond"/>
          <w:sz w:val="4"/>
          <w:szCs w:val="4"/>
        </w:rPr>
      </w:pPr>
    </w:p>
    <w:p w:rsidR="00E62FD8" w:rsidRDefault="00E62FD8" w:rsidP="00947ACF">
      <w:pPr>
        <w:tabs>
          <w:tab w:val="left" w:pos="1560"/>
        </w:tabs>
        <w:jc w:val="both"/>
        <w:rPr>
          <w:rFonts w:ascii="Garamond" w:hAnsi="Garamond"/>
          <w:sz w:val="24"/>
        </w:rPr>
      </w:pPr>
      <w:r>
        <w:rPr>
          <w:rFonts w:ascii="Garamond" w:hAnsi="Garamond"/>
          <w:sz w:val="24"/>
        </w:rPr>
        <w:t xml:space="preserve">2002 – 2005 </w:t>
      </w:r>
      <w:r>
        <w:rPr>
          <w:rFonts w:ascii="Garamond" w:hAnsi="Garamond"/>
          <w:sz w:val="24"/>
        </w:rPr>
        <w:tab/>
      </w:r>
      <w:r>
        <w:rPr>
          <w:rFonts w:ascii="Garamond" w:hAnsi="Garamond"/>
          <w:b/>
          <w:sz w:val="24"/>
        </w:rPr>
        <w:t xml:space="preserve">CIMA – </w:t>
      </w:r>
      <w:r>
        <w:rPr>
          <w:rFonts w:ascii="Garamond" w:hAnsi="Garamond"/>
          <w:sz w:val="24"/>
        </w:rPr>
        <w:t xml:space="preserve">Qualified March 2005 </w:t>
      </w:r>
      <w:r w:rsidRPr="00947ACF">
        <w:rPr>
          <w:rFonts w:ascii="Garamond" w:hAnsi="Garamond"/>
          <w:i/>
          <w:sz w:val="24"/>
        </w:rPr>
        <w:t>(first time pass)</w:t>
      </w:r>
    </w:p>
    <w:p w:rsidR="00E62FD8" w:rsidRPr="00947ACF" w:rsidRDefault="00E62FD8" w:rsidP="00947ACF">
      <w:pPr>
        <w:tabs>
          <w:tab w:val="left" w:pos="1560"/>
        </w:tabs>
        <w:jc w:val="both"/>
        <w:rPr>
          <w:rFonts w:ascii="Garamond" w:hAnsi="Garamond"/>
          <w:sz w:val="4"/>
          <w:szCs w:val="4"/>
        </w:rPr>
      </w:pPr>
    </w:p>
    <w:p w:rsidR="00E62FD8" w:rsidRDefault="00E62FD8" w:rsidP="00947ACF">
      <w:pPr>
        <w:tabs>
          <w:tab w:val="left" w:pos="1560"/>
        </w:tabs>
        <w:jc w:val="both"/>
        <w:rPr>
          <w:rFonts w:ascii="Garamond" w:hAnsi="Garamond"/>
          <w:b/>
          <w:sz w:val="24"/>
        </w:rPr>
      </w:pPr>
      <w:r>
        <w:rPr>
          <w:rFonts w:ascii="Garamond" w:hAnsi="Garamond"/>
          <w:sz w:val="24"/>
        </w:rPr>
        <w:t>1998 – 2002</w:t>
      </w:r>
      <w:r>
        <w:rPr>
          <w:rFonts w:ascii="Garamond" w:hAnsi="Garamond"/>
          <w:sz w:val="24"/>
        </w:rPr>
        <w:tab/>
      </w:r>
      <w:r>
        <w:rPr>
          <w:rFonts w:ascii="Garamond" w:hAnsi="Garamond"/>
          <w:b/>
          <w:sz w:val="24"/>
        </w:rPr>
        <w:t>BA (</w:t>
      </w:r>
      <w:proofErr w:type="spellStart"/>
      <w:r>
        <w:rPr>
          <w:rFonts w:ascii="Garamond" w:hAnsi="Garamond"/>
          <w:b/>
          <w:sz w:val="24"/>
        </w:rPr>
        <w:t>Hons</w:t>
      </w:r>
      <w:proofErr w:type="spellEnd"/>
      <w:r>
        <w:rPr>
          <w:rFonts w:ascii="Garamond" w:hAnsi="Garamond"/>
          <w:b/>
          <w:sz w:val="24"/>
        </w:rPr>
        <w:t>) Business Studies: 2:1</w:t>
      </w:r>
    </w:p>
    <w:p w:rsidR="00E62FD8" w:rsidRDefault="00E62FD8" w:rsidP="00B6276A">
      <w:pPr>
        <w:tabs>
          <w:tab w:val="left" w:pos="1560"/>
        </w:tabs>
        <w:jc w:val="both"/>
        <w:rPr>
          <w:rFonts w:ascii="Garamond" w:hAnsi="Garamond"/>
        </w:rPr>
      </w:pPr>
      <w:r>
        <w:rPr>
          <w:rFonts w:ascii="Garamond" w:hAnsi="Garamond"/>
          <w:sz w:val="24"/>
        </w:rPr>
        <w:tab/>
      </w:r>
      <w:r w:rsidRPr="00B6276A">
        <w:rPr>
          <w:rFonts w:ascii="Garamond" w:hAnsi="Garamond"/>
          <w:i/>
          <w:sz w:val="24"/>
        </w:rPr>
        <w:t>University of Hertfordshire</w:t>
      </w:r>
      <w:r w:rsidR="00B6276A" w:rsidRPr="00B6276A">
        <w:rPr>
          <w:rFonts w:ascii="Garamond" w:hAnsi="Garamond"/>
          <w:i/>
          <w:sz w:val="24"/>
        </w:rPr>
        <w:t xml:space="preserve"> </w:t>
      </w:r>
      <w:r w:rsidR="00B6276A" w:rsidRPr="00B6276A">
        <w:rPr>
          <w:rFonts w:ascii="Garamond" w:hAnsi="Garamond"/>
          <w:i/>
        </w:rPr>
        <w:t>(Award for best performance in Finance</w:t>
      </w:r>
      <w:r w:rsidR="00B6276A" w:rsidRPr="00B6276A">
        <w:rPr>
          <w:rFonts w:ascii="Garamond" w:hAnsi="Garamond"/>
        </w:rPr>
        <w:t>)</w:t>
      </w:r>
    </w:p>
    <w:p w:rsidR="00E62FD8" w:rsidRPr="00947ACF" w:rsidRDefault="00E62FD8" w:rsidP="00947ACF">
      <w:pPr>
        <w:tabs>
          <w:tab w:val="left" w:pos="1560"/>
        </w:tabs>
        <w:jc w:val="both"/>
        <w:rPr>
          <w:rFonts w:ascii="Garamond" w:hAnsi="Garamond"/>
          <w:sz w:val="4"/>
          <w:szCs w:val="4"/>
        </w:rPr>
      </w:pPr>
      <w:r>
        <w:rPr>
          <w:rFonts w:ascii="Garamond" w:hAnsi="Garamond"/>
          <w:sz w:val="24"/>
        </w:rPr>
        <w:tab/>
      </w:r>
    </w:p>
    <w:p w:rsidR="00E62FD8" w:rsidRDefault="00E62FD8" w:rsidP="00947ACF">
      <w:pPr>
        <w:tabs>
          <w:tab w:val="left" w:pos="1560"/>
        </w:tabs>
        <w:jc w:val="both"/>
        <w:rPr>
          <w:rFonts w:ascii="Garamond" w:hAnsi="Garamond"/>
          <w:b/>
          <w:i/>
          <w:sz w:val="24"/>
        </w:rPr>
      </w:pPr>
      <w:r>
        <w:rPr>
          <w:rFonts w:ascii="Garamond" w:hAnsi="Garamond"/>
          <w:sz w:val="24"/>
        </w:rPr>
        <w:t>1991 – 1998</w:t>
      </w:r>
      <w:r>
        <w:rPr>
          <w:rFonts w:ascii="Garamond" w:hAnsi="Garamond"/>
          <w:sz w:val="24"/>
        </w:rPr>
        <w:tab/>
      </w:r>
      <w:r>
        <w:rPr>
          <w:rFonts w:ascii="Garamond" w:hAnsi="Garamond"/>
          <w:b/>
          <w:sz w:val="24"/>
        </w:rPr>
        <w:t xml:space="preserve">4 ‘A’ Levels </w:t>
      </w:r>
      <w:r>
        <w:rPr>
          <w:rFonts w:ascii="Garamond" w:hAnsi="Garamond"/>
          <w:i/>
          <w:sz w:val="24"/>
        </w:rPr>
        <w:tab/>
      </w:r>
      <w:r>
        <w:rPr>
          <w:rFonts w:ascii="Garamond" w:hAnsi="Garamond"/>
          <w:b/>
          <w:sz w:val="24"/>
        </w:rPr>
        <w:t xml:space="preserve">9 GCSEs grade A-C </w:t>
      </w:r>
    </w:p>
    <w:p w:rsidR="00E62FD8" w:rsidRDefault="00E62FD8" w:rsidP="00947ACF">
      <w:pPr>
        <w:pStyle w:val="Heading6"/>
        <w:tabs>
          <w:tab w:val="clear" w:pos="1276"/>
          <w:tab w:val="left" w:pos="1560"/>
        </w:tabs>
        <w:spacing w:line="240" w:lineRule="auto"/>
        <w:jc w:val="both"/>
      </w:pPr>
      <w:r>
        <w:tab/>
        <w:t>Head Girl</w:t>
      </w:r>
    </w:p>
    <w:p w:rsidR="00E62FD8" w:rsidRDefault="00E62FD8">
      <w:pPr>
        <w:tabs>
          <w:tab w:val="left" w:pos="1560"/>
        </w:tabs>
        <w:jc w:val="both"/>
        <w:rPr>
          <w:rFonts w:ascii="Garamond" w:hAnsi="Garamond"/>
        </w:rPr>
      </w:pPr>
    </w:p>
    <w:p w:rsidR="00E62FD8" w:rsidRDefault="00E62FD8">
      <w:pPr>
        <w:pStyle w:val="Heading1"/>
        <w:tabs>
          <w:tab w:val="left" w:pos="1560"/>
        </w:tabs>
        <w:jc w:val="both"/>
        <w:rPr>
          <w:rFonts w:ascii="Garamond" w:hAnsi="Garamond"/>
          <w:b/>
          <w:sz w:val="26"/>
        </w:rPr>
      </w:pPr>
      <w:r>
        <w:rPr>
          <w:rFonts w:ascii="Garamond" w:hAnsi="Garamond"/>
          <w:b/>
          <w:sz w:val="26"/>
        </w:rPr>
        <w:t>Computer Skills</w:t>
      </w:r>
    </w:p>
    <w:p w:rsidR="00E62FD8" w:rsidRDefault="00E62FD8">
      <w:pPr>
        <w:tabs>
          <w:tab w:val="left" w:pos="1560"/>
        </w:tabs>
        <w:jc w:val="both"/>
        <w:rPr>
          <w:rFonts w:ascii="Garamond" w:hAnsi="Garamond"/>
          <w:sz w:val="24"/>
        </w:rPr>
      </w:pPr>
      <w:r>
        <w:rPr>
          <w:rFonts w:ascii="Garamond" w:hAnsi="Garamond"/>
          <w:sz w:val="24"/>
        </w:rPr>
        <w:t xml:space="preserve">Advanced skills on packages </w:t>
      </w:r>
      <w:r>
        <w:rPr>
          <w:rFonts w:ascii="Garamond" w:hAnsi="Garamond"/>
          <w:b/>
          <w:sz w:val="24"/>
        </w:rPr>
        <w:t>Excel</w:t>
      </w:r>
      <w:r>
        <w:rPr>
          <w:rFonts w:ascii="Garamond" w:hAnsi="Garamond"/>
          <w:sz w:val="24"/>
        </w:rPr>
        <w:t xml:space="preserve"> (to macro), </w:t>
      </w:r>
      <w:r>
        <w:rPr>
          <w:rFonts w:ascii="Garamond" w:hAnsi="Garamond"/>
          <w:b/>
          <w:sz w:val="24"/>
        </w:rPr>
        <w:t>PowerPoint</w:t>
      </w:r>
      <w:r>
        <w:rPr>
          <w:rFonts w:ascii="Garamond" w:hAnsi="Garamond"/>
          <w:sz w:val="24"/>
        </w:rPr>
        <w:t xml:space="preserve"> (presentation), </w:t>
      </w:r>
      <w:r>
        <w:rPr>
          <w:rFonts w:ascii="Garamond" w:hAnsi="Garamond"/>
          <w:b/>
          <w:sz w:val="24"/>
        </w:rPr>
        <w:t xml:space="preserve">Business Objects </w:t>
      </w:r>
      <w:r>
        <w:rPr>
          <w:rFonts w:ascii="Garamond" w:hAnsi="Garamond"/>
          <w:sz w:val="24"/>
        </w:rPr>
        <w:t>and</w:t>
      </w:r>
      <w:r>
        <w:rPr>
          <w:rFonts w:ascii="Garamond" w:hAnsi="Garamond"/>
          <w:b/>
          <w:sz w:val="24"/>
        </w:rPr>
        <w:t xml:space="preserve"> Word.  </w:t>
      </w:r>
      <w:r>
        <w:rPr>
          <w:rFonts w:ascii="Garamond" w:hAnsi="Garamond"/>
          <w:sz w:val="24"/>
        </w:rPr>
        <w:t xml:space="preserve">Use of systems such as </w:t>
      </w:r>
      <w:r>
        <w:rPr>
          <w:rFonts w:ascii="Garamond" w:hAnsi="Garamond"/>
          <w:b/>
          <w:sz w:val="24"/>
        </w:rPr>
        <w:t xml:space="preserve">Lawson, SAP, Abacus, </w:t>
      </w:r>
      <w:proofErr w:type="spellStart"/>
      <w:r>
        <w:rPr>
          <w:rFonts w:ascii="Garamond" w:hAnsi="Garamond"/>
          <w:b/>
          <w:sz w:val="24"/>
        </w:rPr>
        <w:t>Alphatax</w:t>
      </w:r>
      <w:proofErr w:type="spellEnd"/>
      <w:r>
        <w:rPr>
          <w:rFonts w:ascii="Garamond" w:hAnsi="Garamond"/>
          <w:b/>
          <w:sz w:val="24"/>
        </w:rPr>
        <w:t xml:space="preserve">, </w:t>
      </w:r>
      <w:proofErr w:type="spellStart"/>
      <w:r>
        <w:rPr>
          <w:rFonts w:ascii="Garamond" w:hAnsi="Garamond"/>
          <w:b/>
          <w:sz w:val="24"/>
        </w:rPr>
        <w:t>QlikView</w:t>
      </w:r>
      <w:proofErr w:type="spellEnd"/>
      <w:r>
        <w:rPr>
          <w:rFonts w:ascii="Garamond" w:hAnsi="Garamond"/>
          <w:b/>
          <w:sz w:val="24"/>
        </w:rPr>
        <w:t xml:space="preserve"> </w:t>
      </w:r>
      <w:r>
        <w:rPr>
          <w:rFonts w:ascii="Garamond" w:hAnsi="Garamond"/>
          <w:sz w:val="24"/>
        </w:rPr>
        <w:t xml:space="preserve">and </w:t>
      </w:r>
      <w:r>
        <w:rPr>
          <w:rFonts w:ascii="Garamond" w:hAnsi="Garamond"/>
          <w:b/>
          <w:sz w:val="24"/>
        </w:rPr>
        <w:t>PeopleSoft</w:t>
      </w:r>
      <w:r>
        <w:rPr>
          <w:rFonts w:ascii="Garamond" w:hAnsi="Garamond"/>
          <w:sz w:val="24"/>
        </w:rPr>
        <w:t>.</w:t>
      </w:r>
    </w:p>
    <w:p w:rsidR="00E62FD8" w:rsidRPr="00B6276A" w:rsidRDefault="00E62FD8">
      <w:pPr>
        <w:tabs>
          <w:tab w:val="left" w:pos="1560"/>
        </w:tabs>
        <w:jc w:val="both"/>
        <w:rPr>
          <w:rFonts w:ascii="Garamond" w:hAnsi="Garamond"/>
          <w:sz w:val="16"/>
          <w:szCs w:val="16"/>
        </w:rPr>
      </w:pPr>
    </w:p>
    <w:p w:rsidR="00E62FD8" w:rsidRDefault="00E62FD8">
      <w:pPr>
        <w:pStyle w:val="Heading1"/>
        <w:tabs>
          <w:tab w:val="left" w:pos="1560"/>
        </w:tabs>
        <w:jc w:val="both"/>
        <w:rPr>
          <w:rFonts w:ascii="Garamond" w:hAnsi="Garamond"/>
          <w:b/>
          <w:sz w:val="26"/>
        </w:rPr>
      </w:pPr>
      <w:r>
        <w:rPr>
          <w:rFonts w:ascii="Garamond" w:hAnsi="Garamond"/>
          <w:b/>
          <w:sz w:val="26"/>
        </w:rPr>
        <w:t>References on request.</w:t>
      </w:r>
    </w:p>
    <w:sectPr w:rsidR="00E62FD8" w:rsidSect="00995547">
      <w:type w:val="continuous"/>
      <w:pgSz w:w="11906" w:h="16838" w:code="9"/>
      <w:pgMar w:top="851" w:right="849" w:bottom="568" w:left="136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2D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C84672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D3137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13F512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4842F4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27BA488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27C01ED5"/>
    <w:multiLevelType w:val="hybridMultilevel"/>
    <w:tmpl w:val="08C6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204D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305C76C8"/>
    <w:multiLevelType w:val="hybridMultilevel"/>
    <w:tmpl w:val="C5DC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6560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364E12A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3BB434B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40B10EA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4147752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45993D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487919F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48831A4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4A5153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58B6010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5AD03A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5BB60E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3254BB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640A0E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6C0128EC"/>
    <w:multiLevelType w:val="singleLevel"/>
    <w:tmpl w:val="9E2A5638"/>
    <w:lvl w:ilvl="0">
      <w:start w:val="6"/>
      <w:numFmt w:val="bullet"/>
      <w:lvlText w:val=""/>
      <w:lvlJc w:val="left"/>
      <w:pPr>
        <w:tabs>
          <w:tab w:val="num" w:pos="405"/>
        </w:tabs>
        <w:ind w:left="405" w:hanging="360"/>
      </w:pPr>
      <w:rPr>
        <w:rFonts w:ascii="Wingdings" w:hAnsi="Wingdings" w:hint="default"/>
      </w:rPr>
    </w:lvl>
  </w:abstractNum>
  <w:abstractNum w:abstractNumId="24">
    <w:nsid w:val="71E93CE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750B01B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777C31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7D82335D"/>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3"/>
  </w:num>
  <w:num w:numId="3">
    <w:abstractNumId w:val="2"/>
  </w:num>
  <w:num w:numId="4">
    <w:abstractNumId w:val="20"/>
  </w:num>
  <w:num w:numId="5">
    <w:abstractNumId w:val="1"/>
  </w:num>
  <w:num w:numId="6">
    <w:abstractNumId w:val="5"/>
  </w:num>
  <w:num w:numId="7">
    <w:abstractNumId w:val="25"/>
  </w:num>
  <w:num w:numId="8">
    <w:abstractNumId w:val="9"/>
  </w:num>
  <w:num w:numId="9">
    <w:abstractNumId w:val="10"/>
  </w:num>
  <w:num w:numId="10">
    <w:abstractNumId w:val="21"/>
  </w:num>
  <w:num w:numId="11">
    <w:abstractNumId w:val="12"/>
  </w:num>
  <w:num w:numId="12">
    <w:abstractNumId w:val="15"/>
  </w:num>
  <w:num w:numId="13">
    <w:abstractNumId w:val="17"/>
  </w:num>
  <w:num w:numId="14">
    <w:abstractNumId w:val="3"/>
  </w:num>
  <w:num w:numId="15">
    <w:abstractNumId w:val="11"/>
  </w:num>
  <w:num w:numId="16">
    <w:abstractNumId w:val="27"/>
  </w:num>
  <w:num w:numId="17">
    <w:abstractNumId w:val="7"/>
  </w:num>
  <w:num w:numId="18">
    <w:abstractNumId w:val="14"/>
  </w:num>
  <w:num w:numId="19">
    <w:abstractNumId w:val="22"/>
  </w:num>
  <w:num w:numId="20">
    <w:abstractNumId w:val="16"/>
  </w:num>
  <w:num w:numId="21">
    <w:abstractNumId w:val="19"/>
  </w:num>
  <w:num w:numId="22">
    <w:abstractNumId w:val="0"/>
  </w:num>
  <w:num w:numId="23">
    <w:abstractNumId w:val="13"/>
  </w:num>
  <w:num w:numId="24">
    <w:abstractNumId w:val="18"/>
  </w:num>
  <w:num w:numId="25">
    <w:abstractNumId w:val="26"/>
  </w:num>
  <w:num w:numId="26">
    <w:abstractNumId w:val="24"/>
  </w:num>
  <w:num w:numId="27">
    <w:abstractNumId w:val="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2A200C"/>
    <w:rsid w:val="00184066"/>
    <w:rsid w:val="002A200C"/>
    <w:rsid w:val="00450FB6"/>
    <w:rsid w:val="004927F4"/>
    <w:rsid w:val="00565DE4"/>
    <w:rsid w:val="006477E0"/>
    <w:rsid w:val="006810EA"/>
    <w:rsid w:val="007871E4"/>
    <w:rsid w:val="00843A4F"/>
    <w:rsid w:val="008C10C8"/>
    <w:rsid w:val="008E6FAB"/>
    <w:rsid w:val="00947ACF"/>
    <w:rsid w:val="00995547"/>
    <w:rsid w:val="00A37E9A"/>
    <w:rsid w:val="00A73D0A"/>
    <w:rsid w:val="00B6276A"/>
    <w:rsid w:val="00B84FC4"/>
    <w:rsid w:val="00C22031"/>
    <w:rsid w:val="00C93EC6"/>
    <w:rsid w:val="00D50CD3"/>
    <w:rsid w:val="00E62FD8"/>
    <w:rsid w:val="00E97FA9"/>
    <w:rsid w:val="00FB01FF"/>
    <w:rsid w:val="00FD29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810EA"/>
    <w:rPr>
      <w:sz w:val="20"/>
      <w:szCs w:val="20"/>
    </w:rPr>
  </w:style>
  <w:style w:type="paragraph" w:styleId="Heading1">
    <w:name w:val="heading 1"/>
    <w:basedOn w:val="Normal"/>
    <w:next w:val="Normal"/>
    <w:link w:val="Heading1Char"/>
    <w:uiPriority w:val="99"/>
    <w:qFormat/>
    <w:rsid w:val="006810EA"/>
    <w:pPr>
      <w:keepNext/>
      <w:outlineLvl w:val="0"/>
    </w:pPr>
    <w:rPr>
      <w:sz w:val="28"/>
    </w:rPr>
  </w:style>
  <w:style w:type="paragraph" w:styleId="Heading2">
    <w:name w:val="heading 2"/>
    <w:basedOn w:val="Normal"/>
    <w:next w:val="Normal"/>
    <w:link w:val="Heading2Char"/>
    <w:uiPriority w:val="99"/>
    <w:qFormat/>
    <w:rsid w:val="006810EA"/>
    <w:pPr>
      <w:keepNext/>
      <w:tabs>
        <w:tab w:val="left" w:pos="1701"/>
      </w:tabs>
      <w:spacing w:line="280" w:lineRule="atLeast"/>
      <w:outlineLvl w:val="1"/>
    </w:pPr>
    <w:rPr>
      <w:i/>
    </w:rPr>
  </w:style>
  <w:style w:type="paragraph" w:styleId="Heading3">
    <w:name w:val="heading 3"/>
    <w:basedOn w:val="Normal"/>
    <w:next w:val="Normal"/>
    <w:link w:val="Heading3Char"/>
    <w:uiPriority w:val="99"/>
    <w:qFormat/>
    <w:rsid w:val="006810EA"/>
    <w:pPr>
      <w:keepNext/>
      <w:tabs>
        <w:tab w:val="left" w:pos="1276"/>
      </w:tabs>
      <w:spacing w:line="300" w:lineRule="atLeast"/>
      <w:outlineLvl w:val="2"/>
    </w:pPr>
    <w:rPr>
      <w:b/>
      <w:sz w:val="22"/>
    </w:rPr>
  </w:style>
  <w:style w:type="paragraph" w:styleId="Heading4">
    <w:name w:val="heading 4"/>
    <w:basedOn w:val="Normal"/>
    <w:next w:val="Normal"/>
    <w:link w:val="Heading4Char"/>
    <w:uiPriority w:val="99"/>
    <w:qFormat/>
    <w:rsid w:val="006810EA"/>
    <w:pPr>
      <w:keepNext/>
      <w:tabs>
        <w:tab w:val="left" w:pos="1276"/>
      </w:tabs>
      <w:spacing w:line="300" w:lineRule="atLeast"/>
      <w:outlineLvl w:val="3"/>
    </w:pPr>
    <w:rPr>
      <w:b/>
      <w:sz w:val="30"/>
    </w:rPr>
  </w:style>
  <w:style w:type="paragraph" w:styleId="Heading5">
    <w:name w:val="heading 5"/>
    <w:basedOn w:val="Normal"/>
    <w:next w:val="Normal"/>
    <w:link w:val="Heading5Char"/>
    <w:uiPriority w:val="99"/>
    <w:qFormat/>
    <w:rsid w:val="006810EA"/>
    <w:pPr>
      <w:keepNext/>
      <w:tabs>
        <w:tab w:val="left" w:pos="1276"/>
      </w:tabs>
      <w:spacing w:line="300" w:lineRule="atLeast"/>
      <w:outlineLvl w:val="4"/>
    </w:pPr>
    <w:rPr>
      <w:sz w:val="30"/>
    </w:rPr>
  </w:style>
  <w:style w:type="paragraph" w:styleId="Heading6">
    <w:name w:val="heading 6"/>
    <w:basedOn w:val="Normal"/>
    <w:next w:val="Normal"/>
    <w:link w:val="Heading6Char"/>
    <w:uiPriority w:val="99"/>
    <w:qFormat/>
    <w:rsid w:val="006810EA"/>
    <w:pPr>
      <w:keepNext/>
      <w:tabs>
        <w:tab w:val="left" w:pos="1276"/>
      </w:tabs>
      <w:spacing w:line="300" w:lineRule="atLeast"/>
      <w:outlineLvl w:val="5"/>
    </w:pPr>
    <w:rPr>
      <w:i/>
      <w:sz w:val="22"/>
    </w:rPr>
  </w:style>
  <w:style w:type="paragraph" w:styleId="Heading7">
    <w:name w:val="heading 7"/>
    <w:basedOn w:val="Normal"/>
    <w:next w:val="Normal"/>
    <w:link w:val="Heading7Char"/>
    <w:uiPriority w:val="99"/>
    <w:qFormat/>
    <w:rsid w:val="006810EA"/>
    <w:pPr>
      <w:keepNext/>
      <w:tabs>
        <w:tab w:val="left" w:pos="1276"/>
      </w:tabs>
      <w:spacing w:line="300" w:lineRule="atLeast"/>
      <w:outlineLvl w:val="6"/>
    </w:pPr>
    <w:rPr>
      <w:sz w:val="24"/>
    </w:rPr>
  </w:style>
  <w:style w:type="paragraph" w:styleId="Heading8">
    <w:name w:val="heading 8"/>
    <w:basedOn w:val="Normal"/>
    <w:next w:val="Normal"/>
    <w:link w:val="Heading8Char"/>
    <w:uiPriority w:val="99"/>
    <w:qFormat/>
    <w:rsid w:val="006810EA"/>
    <w:pPr>
      <w:keepNext/>
      <w:tabs>
        <w:tab w:val="left" w:pos="1276"/>
      </w:tabs>
      <w:ind w:left="1276"/>
      <w:outlineLvl w:val="7"/>
    </w:pPr>
    <w:rPr>
      <w:sz w:val="24"/>
      <w:u w:val="single"/>
    </w:rPr>
  </w:style>
  <w:style w:type="paragraph" w:styleId="Heading9">
    <w:name w:val="heading 9"/>
    <w:basedOn w:val="Normal"/>
    <w:next w:val="Normal"/>
    <w:link w:val="Heading9Char"/>
    <w:uiPriority w:val="99"/>
    <w:qFormat/>
    <w:rsid w:val="006810EA"/>
    <w:pPr>
      <w:keepNext/>
      <w:tabs>
        <w:tab w:val="left" w:pos="1560"/>
      </w:tabs>
      <w:spacing w:line="300" w:lineRule="atLeast"/>
      <w:jc w:val="both"/>
      <w:outlineLvl w:val="8"/>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8B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438B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438B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438B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438BC"/>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438BC"/>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438BC"/>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438BC"/>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438BC"/>
    <w:rPr>
      <w:rFonts w:asciiTheme="majorHAnsi" w:eastAsiaTheme="majorEastAsia" w:hAnsiTheme="majorHAnsi" w:cstheme="majorBidi"/>
    </w:rPr>
  </w:style>
  <w:style w:type="paragraph" w:styleId="BodyTextIndent">
    <w:name w:val="Body Text Indent"/>
    <w:basedOn w:val="Normal"/>
    <w:link w:val="BodyTextIndentChar"/>
    <w:uiPriority w:val="99"/>
    <w:semiHidden/>
    <w:rsid w:val="006810EA"/>
    <w:pPr>
      <w:tabs>
        <w:tab w:val="left" w:pos="1560"/>
      </w:tabs>
      <w:spacing w:line="300" w:lineRule="atLeast"/>
      <w:ind w:left="1560"/>
      <w:jc w:val="both"/>
    </w:pPr>
    <w:rPr>
      <w:sz w:val="24"/>
    </w:rPr>
  </w:style>
  <w:style w:type="character" w:customStyle="1" w:styleId="BodyTextIndentChar">
    <w:name w:val="Body Text Indent Char"/>
    <w:basedOn w:val="DefaultParagraphFont"/>
    <w:link w:val="BodyTextIndent"/>
    <w:uiPriority w:val="99"/>
    <w:semiHidden/>
    <w:rsid w:val="00D438BC"/>
    <w:rPr>
      <w:sz w:val="20"/>
      <w:szCs w:val="20"/>
    </w:rPr>
  </w:style>
  <w:style w:type="paragraph" w:styleId="BodyText">
    <w:name w:val="Body Text"/>
    <w:basedOn w:val="Normal"/>
    <w:link w:val="BodyTextChar"/>
    <w:uiPriority w:val="99"/>
    <w:semiHidden/>
    <w:rsid w:val="006810EA"/>
    <w:pPr>
      <w:tabs>
        <w:tab w:val="left" w:pos="1276"/>
      </w:tabs>
      <w:spacing w:line="280" w:lineRule="atLeast"/>
      <w:jc w:val="both"/>
    </w:pPr>
    <w:rPr>
      <w:rFonts w:ascii="Garamond" w:hAnsi="Garamond"/>
      <w:sz w:val="23"/>
    </w:rPr>
  </w:style>
  <w:style w:type="character" w:customStyle="1" w:styleId="BodyTextChar">
    <w:name w:val="Body Text Char"/>
    <w:basedOn w:val="DefaultParagraphFont"/>
    <w:link w:val="BodyText"/>
    <w:uiPriority w:val="99"/>
    <w:semiHidden/>
    <w:rsid w:val="00D438BC"/>
    <w:rPr>
      <w:sz w:val="20"/>
      <w:szCs w:val="20"/>
    </w:rPr>
  </w:style>
  <w:style w:type="character" w:styleId="Hyperlink">
    <w:name w:val="Hyperlink"/>
    <w:basedOn w:val="DefaultParagraphFont"/>
    <w:uiPriority w:val="99"/>
    <w:rsid w:val="008E6FAB"/>
    <w:rPr>
      <w:rFonts w:cs="Times New Roman"/>
      <w:color w:val="0000FF"/>
      <w:u w:val="single"/>
    </w:rPr>
  </w:style>
  <w:style w:type="paragraph" w:styleId="ListParagraph">
    <w:name w:val="List Paragraph"/>
    <w:basedOn w:val="Normal"/>
    <w:qFormat/>
    <w:rsid w:val="00B6276A"/>
    <w:pPr>
      <w:ind w:left="720"/>
      <w:contextualSpacing/>
    </w:pPr>
    <w:rPr>
      <w:rFonts w:ascii="Verdana" w:hAnsi="Verdan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Kirsti Eames</vt:lpstr>
    </vt:vector>
  </TitlesOfParts>
  <Company>Dixons Retail Limited</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Kirsti Eames</dc:title>
  <dc:subject/>
  <dc:creator>Kirsti E</dc:creator>
  <cp:keywords/>
  <dc:description/>
  <cp:lastModifiedBy>Kirsti Clarke</cp:lastModifiedBy>
  <cp:revision>5</cp:revision>
  <cp:lastPrinted>2010-06-02T13:36:00Z</cp:lastPrinted>
  <dcterms:created xsi:type="dcterms:W3CDTF">2011-09-06T11:32:00Z</dcterms:created>
  <dcterms:modified xsi:type="dcterms:W3CDTF">2011-09-06T12:03:00Z</dcterms:modified>
</cp:coreProperties>
</file>