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7747" w14:textId="77777777" w:rsidR="00020211" w:rsidRPr="00020211" w:rsidRDefault="00020211" w:rsidP="00020211">
      <w:pPr>
        <w:pStyle w:val="BodyText"/>
        <w:rPr>
          <w:rFonts w:asciiTheme="minorHAnsi" w:hAnsiTheme="minorHAnsi" w:cstheme="minorHAnsi"/>
        </w:rPr>
      </w:pPr>
      <w:r w:rsidRPr="00020211">
        <w:rPr>
          <w:rFonts w:asciiTheme="minorHAnsi" w:hAnsiTheme="minorHAnsi" w:cstheme="minorHAnsi"/>
        </w:rPr>
        <w:t>KPMG’s Connected Health framework provides innovative insights, best-practice methods, and end-to-end capability for successful transformation – connecting front end care delivery and patient experience channels through to middle office (HR management systems) and to back-office technology to support the Healthscope journey to becoming a world-class health organisation.</w:t>
      </w:r>
    </w:p>
    <w:p w14:paraId="2D9E4889" w14:textId="1DC19C94" w:rsidR="00A251B2" w:rsidRPr="00020211" w:rsidRDefault="00020211" w:rsidP="00020211">
      <w:pPr>
        <w:pStyle w:val="BodyText"/>
        <w:rPr>
          <w:rFonts w:asciiTheme="minorHAnsi" w:hAnsiTheme="minorHAnsi" w:cstheme="minorHAnsi"/>
        </w:rPr>
      </w:pPr>
      <w:r w:rsidRPr="00020211">
        <w:rPr>
          <w:rFonts w:asciiTheme="minorHAnsi" w:hAnsiTheme="minorHAnsi" w:cstheme="minorHAnsi"/>
        </w:rPr>
        <w:t xml:space="preserve">The key to the framework is that the relationships between the front (consumer/patient-facing), middle and back-office functions are aligned so that the digital tools, </w:t>
      </w:r>
      <w:proofErr w:type="gramStart"/>
      <w:r w:rsidRPr="00020211">
        <w:rPr>
          <w:rFonts w:asciiTheme="minorHAnsi" w:hAnsiTheme="minorHAnsi" w:cstheme="minorHAnsi"/>
        </w:rPr>
        <w:t>technology</w:t>
      </w:r>
      <w:proofErr w:type="gramEnd"/>
      <w:r w:rsidRPr="00020211">
        <w:rPr>
          <w:rFonts w:asciiTheme="minorHAnsi" w:hAnsiTheme="minorHAnsi" w:cstheme="minorHAnsi"/>
        </w:rPr>
        <w:t xml:space="preserve"> and processes implemented within the Human Resource management function promote efficient and effective workflows across Healthscope operations.</w:t>
      </w:r>
    </w:p>
    <w:sectPr w:rsidR="00A251B2" w:rsidRPr="0002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11"/>
    <w:rsid w:val="00020211"/>
    <w:rsid w:val="004414C9"/>
    <w:rsid w:val="00537CC0"/>
    <w:rsid w:val="006E5CFC"/>
    <w:rsid w:val="00A2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0E14"/>
  <w15:chartTrackingRefBased/>
  <w15:docId w15:val="{0AF6D295-88E0-42F1-BA52-F75B7B46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20211"/>
    <w:pPr>
      <w:spacing w:before="180" w:after="120" w:line="260" w:lineRule="atLeast"/>
    </w:pPr>
    <w:rPr>
      <w:rFonts w:ascii="Arial" w:hAnsi="Arial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020211"/>
    <w:rPr>
      <w:rFonts w:ascii="Arial" w:hAnsi="Arial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B06418-7059-47D4-B992-F40F7108D5B0}"/>
</file>

<file path=customXml/itemProps2.xml><?xml version="1.0" encoding="utf-8"?>
<ds:datastoreItem xmlns:ds="http://schemas.openxmlformats.org/officeDocument/2006/customXml" ds:itemID="{2CAB46AD-E155-4DC1-A474-5C3A2FCDD63A}"/>
</file>

<file path=customXml/itemProps3.xml><?xml version="1.0" encoding="utf-8"?>
<ds:datastoreItem xmlns:ds="http://schemas.openxmlformats.org/officeDocument/2006/customXml" ds:itemID="{CDB6AD7A-BA7E-4543-A269-7101D839E7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2023-02-21T05:29:00Z</dcterms:created>
  <dcterms:modified xsi:type="dcterms:W3CDTF">2023-02-21T05:30:00Z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