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Start with the model answer to allow the project to focus on those truly unique requirements to CFTRF.</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t>Fundamental to our approach is the use of KPMG Powered Enterprise for Workday HCM, and we believe that the most significant benefit to CFTRF is access to the pre-configured solution, out-of-the-box business processes, and delivery tools, meaning:</w:t>
      </w:r>
    </w:p>
    <w:p w14:paraId="7AA3C124" w14:textId="7679F25E" w:rsidR="00E22056" w:rsidRPr="00152BE1" w:rsidRDefault="00840C38" w:rsidP="00E22056">
      <w:pPr>
        <w:pStyle w:val="ListBullet"/>
      </w:pPr>
      <w:r>
        <w:t>CFTRF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t>KPMG’s implementations focus with CFTRF would be more about the user uplift and adoption, refinements to the new operating model and less about the Workday technology itself.</w:t>
      </w:r>
    </w:p>
    <w:p w14:paraId="584FF2DF" w14:textId="06D3CEA9" w:rsidR="00E22056" w:rsidRDefault="00840C38" w:rsidP="00E22056">
      <w:pPr>
        <w:pStyle w:val="ListBullet"/>
      </w:pPr>
      <w:r>
        <w:t>CFTRF will have access to KPMG materials, which have been designed through extensive global research and hands-on experience.</w:t>
      </w:r>
    </w:p>
    <w:p w14:paraId="0E2537D8" w14:textId="0D2DA731" w:rsidR="00E22056" w:rsidRDefault="00840C38" w:rsidP="00E22056">
      <w:pPr>
        <w:pStyle w:val="ListBullet"/>
      </w:pPr>
      <w:r>
        <w:t>CFTRF can leverage the relevant industry KPMG Powered Enterprise Workday assets developed specifically for Healthcare.</w:t>
      </w:r>
    </w:p>
    <w:p w14:paraId="44DC2359" w14:textId="1218E87A" w:rsidR="00E22056" w:rsidRPr="002913EC" w:rsidRDefault="00E22056" w:rsidP="00E22056">
      <w:pPr>
        <w:pStyle w:val="BodyText"/>
      </w:pPr>
      <w:r>
        <w:t>Our implementation framework and validation-based approach through KPMG Powered Enterprise enables CFTRF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Figure 6: KPMG Powered Enterprise Benefits to CFTRF.</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While we start with the model answer, we recognise the complexities across Workforce services, Solution Design, and stakeholder groups in CFTRF,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Core to the KPMG Powered Enterprise approach is focusing on "validating" business processes with business stakeholders to identify why the process will not work. This is with the objective of focusing on what is unique to CFTRF and follows a similar process as to that which was conducted as part of the Corporate Systems Evaluation Project early in 2021.</w:t>
      </w:r>
    </w:p>
    <w:p w14:paraId="0616430B" w14:textId="5E6CB1F4" w:rsidR="00E22056" w:rsidRDefault="00E22056" w:rsidP="00E22056">
      <w:pPr>
        <w:pStyle w:val="BodyText"/>
      </w:pPr>
      <w:r>
        <w:t>Note: We have proposed up-front TOM Alignment workshops during a four-week kick start period in order to understand CFTRF's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Powered Enterprise provides the intellectual property and thought leadership required to design optimal processes alongside the Workday Platform. The result is refining the operating model to support CFTRF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KPMG understands the design of the Workday Platform is crucial to support the Workforce team, caregivers, and line managers. Therefore, with CFTRF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CFTRF will have the opportunity to complete transactions in Workday to provide feedback on processes and streamline design decisions which increases platform awareness and saves costs on changes down the track. As part of the Architect phase, we will have localisation workshops at the start of each new wave to drive customisation and align to be fit-for-purpose.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t>KPMG have developed industry assets specific to Healthcare on the Workday Platform – "Powered Healthcare for Workday". While the assets are across HCM, Finance, and Supply Chain Management, the HCM assets would be leveraged for CFTRF's HRIS Implementation on Workday.</w:t>
      </w:r>
    </w:p>
    <w:p w14:paraId="0C895CDD" w14:textId="2082011D" w:rsidR="00E22056" w:rsidRDefault="00E22056" w:rsidP="00E22056">
      <w:pPr>
        <w:pStyle w:val="BodyText"/>
      </w:pPr>
      <w:r>
        <w:t>Powered Healthcare for Workday was launched globally in October 2021 and would be available for CFTRF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t>We propose that Workday HCM be implemented to support the centralised HR functions across CFTRF, with Kronos remaining as the critical workforce management tool for time and attendance integrated with Ascender Pay. Further details on the integration solution between Workday and the other solutions that sit within your broader application landscape is detailed in this document.</w:t>
      </w:r>
    </w:p>
    <w:p w14:paraId="5EE6708D" w14:textId="3ABE5A27" w:rsidR="00E22056" w:rsidRPr="005F4D6B" w:rsidRDefault="00E22056" w:rsidP="00E22056">
      <w:pPr>
        <w:pStyle w:val="BodyText"/>
      </w:pPr>
      <w:r>
        <w:t>We are confident that our proposed timeline strikes the right balance between the velocity needed to carefully design and deploy the Workday solution and CFTRF's decision making timelines and resource capacity to adopt the Workday solution. We believe that our approach will help CFTRF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we would welcome the opportunity to conduct a joint deployment planning session with CFTRF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CFTRF caregivers (super users and SME's) actively engaged from the project outset to champion user adoption.</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t>Based on CFTRF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KPMG acknowledges process harmonisation is fundamental to CFTRF's objective for caregivers to have consistent processes across the employee life cycle.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CFTRF's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Healthcare for Workday assets, identify key Level 2 processes with unique requirements for CFTRF.</w:t>
      </w:r>
    </w:p>
    <w:p w14:paraId="5A6CD580" w14:textId="57CB3682" w:rsidR="00E22056" w:rsidRDefault="00E22056" w:rsidP="00E22056">
      <w:pPr>
        <w:pStyle w:val="ListBullet"/>
      </w:pPr>
      <w:r>
        <w:t>Conduct Architect Workshops with the objective of validating whether our leading practice processes will work for CFTRF or not. If not, this is captured as process deviations (like a fit / gap analysis).</w:t>
      </w:r>
    </w:p>
    <w:p w14:paraId="1C477495" w14:textId="0524BED4" w:rsidR="00E22056" w:rsidRDefault="00E22056" w:rsidP="00E22056">
      <w:pPr>
        <w:pStyle w:val="ListBullet"/>
      </w:pPr>
      <w:r>
        <w:t>Once process deviations are captured, we will conduct playback sessions with the relevant stakeholders on how these deviations for CFTRF's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These activities will be spread across four months to allow for sufficient stakeholder input, review, and alignment to achieve the best outcome for unified processes for CFTRF.</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t>The proposed schedule including key milestones in line with our proposed Project timeline for CFTRF is as set out in Table 8 below. Note: the key milestone dates are indicative and are subject to change based on project start dates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r>
              <w:t>CFTRF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CFTRF, and KPMG Powered Healthcare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r>
              <w:t>Sample organisation data is provided by CFTRF.</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r>
              <w:t>Availability of CFTRF SMEs and caregivers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r>
              <w:t>The second Workday Prototype build is complete incorporating agreed future state business processes in the Architect Workshops and agreed deviations from KPMG Powered Enterprise leading practice processes and configuration unique to CFTRF.</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r>
              <w:t>Future state business processes and solution designs completed and approved by CFTRF.</w:t>
              <w:br/>
              <w:t>The Master Test Plan is complete and approved by CFTRF.</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r>
              <w:t>KPMG and CFTRF co-lead the playback of the Configuration Prototype Tenant with key CFTRF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r>
              <w:t>Configuration Tenant Complete.</w:t>
              <w:br/>
              <w:t>Configuration Tenant Data Extract provided by CFTRF 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CFTRF have conducted and completed testing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r>
              <w:t>The third Workday Prototype build is complete incorporating agreed future state business processes, final configuration unique to CFTRF and final CFTRF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0C001C72" w14:textId="00B15BD1" w:rsidR="00E22056" w:rsidRPr="00D15190" w:rsidRDefault="00E22056" w:rsidP="001D23A9">
            <w:pPr>
              <w:pStyle w:val="BodyText"/>
            </w:pPr>
          </w:p>
        </w:tc>
        <w:tc>
          <w:tcPr>
            <w:tcW w:w="1473" w:type="pct"/>
          </w:tcPr>
          <w:p>
            <w:r>
              <w:t>Final solution designs completed and approved by CFTRF.</w:t>
              <w:br/>
              <w:t>End-to-End Tenant Data Extract Complete and provided by CFTRF 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CFTRF have conducted and completed testing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lastRenderedPageBreak/>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in 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r>
              <w:t>Handover Documentation (Solution Design documentation) is complete, approved CFTRF, and stored in CFTRF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48522" w14:textId="77777777" w:rsidR="00813555" w:rsidRDefault="00813555" w:rsidP="00E22056">
      <w:pPr>
        <w:spacing w:before="0" w:after="0" w:line="240" w:lineRule="auto"/>
      </w:pPr>
      <w:r>
        <w:separator/>
      </w:r>
    </w:p>
  </w:endnote>
  <w:endnote w:type="continuationSeparator" w:id="0">
    <w:p w14:paraId="28D3285D" w14:textId="77777777" w:rsidR="00813555" w:rsidRDefault="00813555"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CCF0C96" w14:textId="77777777" w:rsidR="004855AC" w:rsidRPr="00F07030" w:rsidRDefault="004855AC" w:rsidP="004855AC">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6CCC0A60" w14:textId="7C8CD490" w:rsidR="00072471" w:rsidRDefault="004855AC" w:rsidP="004855AC">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F57E9" w14:textId="77777777" w:rsidR="00813555" w:rsidRDefault="00813555" w:rsidP="00E22056">
      <w:pPr>
        <w:spacing w:before="0" w:after="0" w:line="240" w:lineRule="auto"/>
      </w:pPr>
      <w:r>
        <w:separator/>
      </w:r>
    </w:p>
  </w:footnote>
  <w:footnote w:type="continuationSeparator" w:id="0">
    <w:p w14:paraId="490B209C" w14:textId="77777777" w:rsidR="00813555" w:rsidRDefault="00813555"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4855AC"/>
    <w:rsid w:val="006A75FF"/>
    <w:rsid w:val="00813555"/>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2022-12-15T13:06:00Z</dcterms:created>
  <dcterms:modified xsi:type="dcterms:W3CDTF">2023-04-18T11:36:00Z</dcterms:modified>
</cp:coreProperties>
</file>