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CD3F5" w14:textId="77777777" w:rsidR="00BD0EC0" w:rsidRDefault="00BD0EC0" w:rsidP="00BD0EC0">
      <w:pPr>
        <w:pStyle w:val="Heading3"/>
      </w:pPr>
      <w:r>
        <w:t>Integration</w:t>
      </w:r>
    </w:p>
    <w:p w14:paraId="733C42B4" w14:textId="431F1B00" w:rsidR="00BD0EC0" w:rsidRDefault="00BD0EC0" w:rsidP="00BD0EC0">
      <w:pPr>
        <w:pStyle w:val="BodyText"/>
      </w:pPr>
      <w:r>
        <w:t>Please refer to the below section for KPMG's Statement of Capability related to Integration services including proposed integration architecture and scope for Goldman Sachs's HRIS Implementation.</w:t>
      </w:r>
    </w:p>
    <w:p w14:paraId="69D7F863" w14:textId="77777777" w:rsidR="00BD0EC0" w:rsidRPr="00D21824" w:rsidRDefault="00BD0EC0" w:rsidP="00BD0EC0">
      <w:pPr>
        <w:pStyle w:val="BodyText"/>
      </w:pPr>
      <w:r w:rsidRPr="00D21824">
        <w:t>Australian private hospital providers are required to use several information systems to meet their operational requirements. It is common for providers to have separate systems for finance, payroll, HR, rostering, procurement, asset management, home care, and residential care. These disparate systems add inefficiencies and expense, as providers can be forced to establish manual processes around data transfer, checking, and reporting. We have placed heavy importance on the success of integration delivery in our approach.</w:t>
      </w:r>
    </w:p>
    <w:p w14:paraId="1D60D7B1" w14:textId="4D64A00D" w:rsidR="00BD0EC0" w:rsidRPr="00D21824" w:rsidRDefault="00BD0EC0" w:rsidP="00BD0EC0">
      <w:pPr>
        <w:pStyle w:val="BodyText"/>
      </w:pPr>
      <w:r>
        <w:t>For Goldman Sachs, better integration of information systems will eventually translate into an improved experience for the highly mobile (potentially virtual) and geographically dispersed workforce. Front-line workers, clinicians, social workers, and care coordinators will be able to more efficiently access information that can support them in effectively delivering health, aged, and community care services.</w:t>
      </w:r>
    </w:p>
    <w:p w14:paraId="273F6018" w14:textId="4B4A6012" w:rsidR="00BD0EC0" w:rsidRPr="00D21824" w:rsidRDefault="003269E6" w:rsidP="00BD0EC0">
      <w:pPr>
        <w:pStyle w:val="BodyText"/>
      </w:pPr>
      <w:r>
        <w:t>Goldman Sachs workforce will refer to a single view of their HRIS record and avoid entering data or validating multiple systems. This will save them time (and frustrations), which will help them maintain focus on the most important things, their clients, and their health. The integration strategy allows organisations to cut complexity and drive tangible business value. For Goldman Sachs, this translates into delivering the best care to their patients and investing in their caregivers.</w:t>
      </w:r>
    </w:p>
    <w:p w14:paraId="45563470" w14:textId="66A041F5" w:rsidR="00BD0EC0" w:rsidRPr="00D21824" w:rsidRDefault="00BD0EC0" w:rsidP="00BD0EC0">
      <w:pPr>
        <w:pStyle w:val="BodyText"/>
      </w:pPr>
      <w:r>
        <w:t>By quickly connecting new information and operationalising it across the Group, Goldman Sachs can increase automation, ensure tighter security, and create competitive advantages in their industry.</w:t>
      </w:r>
    </w:p>
    <w:p w14:paraId="17267D9D" w14:textId="3DBCE258" w:rsidR="00BD0EC0" w:rsidRDefault="00BD0EC0" w:rsidP="00BD0EC0">
      <w:pPr>
        <w:pStyle w:val="BodyText"/>
      </w:pPr>
      <w:r>
        <w:t>KPMG has developed a framework to help organisations ignite digital transformation through innovation and agility, while de-risking implementation leveraging our KPMG Powered Integration framework enabled by Workday. Our framework is a market differentiator on how to maximise the value of your Workday implementation by laying the foundation that will help Goldman Sachs automate end-to-end business processes and easily scale the solution in the future and promoting re-use.</w:t>
      </w:r>
    </w:p>
    <w:p w14:paraId="3AADAA1B" w14:textId="77777777" w:rsidR="00BD0EC0" w:rsidRPr="00D21824" w:rsidRDefault="00BD0EC0" w:rsidP="00BD0EC0">
      <w:pPr>
        <w:pStyle w:val="BodyText"/>
      </w:pPr>
      <w:r w:rsidRPr="00D21824">
        <w:t xml:space="preserve">Key benefits </w:t>
      </w:r>
      <w:r>
        <w:t>we have seen in our approach</w:t>
      </w:r>
      <w:r w:rsidRPr="00D21824">
        <w:t xml:space="preserve"> are:</w:t>
      </w:r>
    </w:p>
    <w:p w14:paraId="33639EE2" w14:textId="77777777" w:rsidR="00BD0EC0" w:rsidRPr="00B8546F" w:rsidRDefault="00BD0EC0" w:rsidP="00BD0EC0">
      <w:pPr>
        <w:pStyle w:val="ListBullet"/>
        <w:rPr>
          <w:rStyle w:val="Emphasis"/>
          <w:b w:val="0"/>
          <w:iCs w:val="0"/>
        </w:rPr>
      </w:pPr>
      <w:r>
        <w:rPr>
          <w:rStyle w:val="Emphasis"/>
        </w:rPr>
        <w:t>Deliver your Employee 360 Experience:</w:t>
      </w:r>
      <w:r w:rsidRPr="006608D0">
        <w:rPr>
          <w:rStyle w:val="Emphasis"/>
        </w:rPr>
        <w:t xml:space="preserve"> </w:t>
      </w:r>
      <w:r w:rsidRPr="007C2788">
        <w:rPr>
          <w:rStyle w:val="Emphasis"/>
        </w:rPr>
        <w:t>E</w:t>
      </w:r>
      <w:r w:rsidRPr="0000253C">
        <w:rPr>
          <w:rStyle w:val="Emphasis"/>
        </w:rPr>
        <w:t>mpower</w:t>
      </w:r>
      <w:r w:rsidRPr="00813F5C">
        <w:rPr>
          <w:rStyle w:val="Emphasis"/>
        </w:rPr>
        <w:t>ing</w:t>
      </w:r>
      <w:r w:rsidRPr="0000253C">
        <w:rPr>
          <w:rStyle w:val="Emphasis"/>
        </w:rPr>
        <w:t xml:space="preserve"> </w:t>
      </w:r>
      <w:r w:rsidRPr="00813F5C">
        <w:rPr>
          <w:rStyle w:val="Emphasis"/>
        </w:rPr>
        <w:t>businesses by</w:t>
      </w:r>
      <w:r w:rsidRPr="0000253C">
        <w:rPr>
          <w:rStyle w:val="Emphasis"/>
        </w:rPr>
        <w:t xml:space="preserve"> creating connected experiences, unlocking, and unifying data.</w:t>
      </w:r>
    </w:p>
    <w:p w14:paraId="0FD30C1C" w14:textId="77777777" w:rsidR="00BD0EC0" w:rsidRPr="00723D44" w:rsidRDefault="00BD0EC0" w:rsidP="00BD0EC0">
      <w:pPr>
        <w:pStyle w:val="ListBullet"/>
        <w:rPr>
          <w:rStyle w:val="Emphasis"/>
          <w:b w:val="0"/>
          <w:iCs w:val="0"/>
        </w:rPr>
      </w:pPr>
      <w:r>
        <w:rPr>
          <w:rStyle w:val="Emphasis"/>
        </w:rPr>
        <w:t>Fast-Track Workday Integrations:</w:t>
      </w:r>
      <w:r w:rsidRPr="006608D0">
        <w:rPr>
          <w:rStyle w:val="Emphasis"/>
        </w:rPr>
        <w:t xml:space="preserve"> </w:t>
      </w:r>
      <w:r w:rsidRPr="00E526BF">
        <w:rPr>
          <w:rStyle w:val="Emphasis"/>
        </w:rPr>
        <w:t xml:space="preserve">Accelerate Workday implementation with up </w:t>
      </w:r>
      <w:r w:rsidRPr="00255CC7">
        <w:rPr>
          <w:rStyle w:val="Emphasis"/>
        </w:rPr>
        <w:t xml:space="preserve">to </w:t>
      </w:r>
      <w:r w:rsidRPr="009B38F4">
        <w:rPr>
          <w:rStyle w:val="Emphasis"/>
        </w:rPr>
        <w:t>20-25</w:t>
      </w:r>
      <w:r w:rsidRPr="00255CC7">
        <w:rPr>
          <w:rStyle w:val="Emphasis"/>
        </w:rPr>
        <w:t xml:space="preserve">% savings using our library of </w:t>
      </w:r>
      <w:r w:rsidRPr="00CD6056">
        <w:rPr>
          <w:rStyle w:val="Emphasis"/>
        </w:rPr>
        <w:t xml:space="preserve">pre-built </w:t>
      </w:r>
      <w:r w:rsidRPr="00EE452F">
        <w:rPr>
          <w:rStyle w:val="Emphasis"/>
        </w:rPr>
        <w:t>assets.</w:t>
      </w:r>
      <w:r w:rsidRPr="006608D0">
        <w:rPr>
          <w:rStyle w:val="Emphasis"/>
        </w:rPr>
        <w:t xml:space="preserve"> </w:t>
      </w:r>
      <w:r w:rsidRPr="007B41F0">
        <w:rPr>
          <w:rStyle w:val="Emphasis"/>
        </w:rPr>
        <w:t xml:space="preserve">Moreover, it sets the foundation of microservices to easily </w:t>
      </w:r>
      <w:r w:rsidRPr="007651BE">
        <w:rPr>
          <w:rStyle w:val="Emphasis"/>
        </w:rPr>
        <w:t xml:space="preserve">extend and </w:t>
      </w:r>
      <w:r w:rsidRPr="007B41F0">
        <w:rPr>
          <w:rStyle w:val="Emphasis"/>
        </w:rPr>
        <w:t>scale the solution in the future.</w:t>
      </w:r>
    </w:p>
    <w:p w14:paraId="2E845701" w14:textId="77777777" w:rsidR="00BD0EC0" w:rsidRDefault="00BD0EC0" w:rsidP="00BD0EC0">
      <w:pPr>
        <w:pStyle w:val="ListBullet"/>
      </w:pPr>
      <w:r>
        <w:rPr>
          <w:rStyle w:val="Emphasis"/>
        </w:rPr>
        <w:t>Mitigate Integration Scope Creep</w:t>
      </w:r>
      <w:r w:rsidRPr="006608D0">
        <w:rPr>
          <w:rStyle w:val="Emphasis"/>
        </w:rPr>
        <w:t>:</w:t>
      </w:r>
      <w:r>
        <w:t xml:space="preserve"> Our Powered methodology allow us to quickly validate your integration requirements from a business and process lens perspective earlier in the process.</w:t>
      </w:r>
    </w:p>
    <w:tbl>
      <w:tblPr>
        <w:tblW w:w="5009" w:type="pct"/>
        <w:shd w:val="clear" w:color="auto" w:fill="476F51"/>
        <w:tblLook w:val="04A0" w:firstRow="1" w:lastRow="0" w:firstColumn="1" w:lastColumn="0" w:noHBand="0" w:noVBand="1"/>
      </w:tblPr>
      <w:tblGrid>
        <w:gridCol w:w="2053"/>
        <w:gridCol w:w="7603"/>
      </w:tblGrid>
      <w:tr w:rsidR="00BD0EC0" w:rsidRPr="00574707" w14:paraId="6CB1FFE3" w14:textId="77777777" w:rsidTr="00A46DD2">
        <w:trPr>
          <w:trHeight w:val="1702"/>
        </w:trPr>
        <w:tc>
          <w:tcPr>
            <w:tcW w:w="1063" w:type="pct"/>
            <w:shd w:val="clear" w:color="auto" w:fill="00A3A1"/>
          </w:tcPr>
          <w:p w14:paraId="260A8A1F" w14:textId="77777777" w:rsidR="00BD0EC0" w:rsidRPr="003C70D8" w:rsidRDefault="00BD0EC0" w:rsidP="00A46DD2">
            <w:pPr>
              <w:pStyle w:val="BodyText"/>
            </w:pPr>
            <w:r w:rsidRPr="003C70D8">
              <w:rPr>
                <w:noProof/>
              </w:rPr>
              <w:lastRenderedPageBreak/>
              <w:drawing>
                <wp:anchor distT="0" distB="0" distL="114300" distR="114300" simplePos="0" relativeHeight="251659264" behindDoc="0" locked="0" layoutInCell="1" allowOverlap="1" wp14:anchorId="63D251CD" wp14:editId="16991891">
                  <wp:simplePos x="0" y="0"/>
                  <wp:positionH relativeFrom="column">
                    <wp:posOffset>0</wp:posOffset>
                  </wp:positionH>
                  <wp:positionV relativeFrom="paragraph">
                    <wp:posOffset>153035</wp:posOffset>
                  </wp:positionV>
                  <wp:extent cx="1079500" cy="1079500"/>
                  <wp:effectExtent l="0" t="0" r="6350" b="6350"/>
                  <wp:wrapSquare wrapText="bothSides"/>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37" w:type="pct"/>
            <w:shd w:val="clear" w:color="auto" w:fill="BFE8E8"/>
            <w:vAlign w:val="center"/>
          </w:tcPr>
          <w:p w14:paraId="7D61890C" w14:textId="77777777" w:rsidR="00BD0EC0" w:rsidRPr="003C70D8" w:rsidRDefault="00BD0EC0" w:rsidP="00A46DD2">
            <w:pPr>
              <w:pStyle w:val="BodyText"/>
            </w:pPr>
            <w:r w:rsidRPr="00574707">
              <w:t xml:space="preserve">“The ability to leverage the experience from KPMG had gained from previous implementations truly accelerated our ability to deliver value to the business in a quick way. There is a strong cultural connection with how we worked together, and KPMG engaged well with the business to understand our requirements to ensure the outcome </w:t>
            </w:r>
            <w:r w:rsidRPr="003C70D8">
              <w:t>we were looking for</w:t>
            </w:r>
            <w:r>
              <w:t>”.</w:t>
            </w:r>
          </w:p>
          <w:p w14:paraId="21D37DA2" w14:textId="77777777" w:rsidR="00BD0EC0" w:rsidRPr="003C70D8" w:rsidRDefault="00BD0EC0" w:rsidP="00A46DD2">
            <w:pPr>
              <w:pStyle w:val="BodyText"/>
              <w:spacing w:before="0" w:after="0"/>
            </w:pPr>
            <w:r w:rsidRPr="00D924F0">
              <w:rPr>
                <w:rStyle w:val="Emphasis"/>
              </w:rPr>
              <w:t>Andrew Coffey</w:t>
            </w:r>
            <w:r w:rsidRPr="00574707">
              <w:t xml:space="preserve"> – Chief Information Officer</w:t>
            </w:r>
          </w:p>
          <w:p w14:paraId="49877576" w14:textId="77777777" w:rsidR="00BD0EC0" w:rsidRPr="003C70D8" w:rsidRDefault="00BD0EC0" w:rsidP="00A46DD2">
            <w:pPr>
              <w:pStyle w:val="BodyText"/>
              <w:spacing w:before="0" w:after="0"/>
            </w:pPr>
            <w:r w:rsidRPr="00574707">
              <w:t>7 Eleven</w:t>
            </w:r>
          </w:p>
        </w:tc>
      </w:tr>
    </w:tbl>
    <w:p w14:paraId="03B2A75F" w14:textId="59BFDDA6" w:rsidR="00BD0EC0" w:rsidRDefault="00BD0EC0" w:rsidP="00BD0EC0">
      <w:pPr>
        <w:pStyle w:val="BodyText"/>
      </w:pPr>
      <w:r>
        <w:t>Our integration approach can bridge the gap between integration strategy and your specific business outcomes by leveraging our KPMG Powered Integration framework enabled by Workday. Based on the integration requirements provided to us, our recommendation to Goldman Sachs is to utilise a middleware solution to deliver the required value and maximise the re-use, and extensibility, along with decreasing operational costs.</w:t>
      </w:r>
    </w:p>
    <w:p w14:paraId="77CB9D62" w14:textId="77777777" w:rsidR="00BD0EC0" w:rsidRDefault="00BD0EC0" w:rsidP="00BD0EC0">
      <w:pPr>
        <w:pStyle w:val="BodyText"/>
      </w:pPr>
      <w:r>
        <w:t>We have broken down our integration response between two options:</w:t>
      </w:r>
    </w:p>
    <w:p w14:paraId="5961A971" w14:textId="12BA6DE9" w:rsidR="00BD0EC0" w:rsidRDefault="00BD0EC0" w:rsidP="00BD0EC0">
      <w:pPr>
        <w:pStyle w:val="ListBullet"/>
      </w:pPr>
      <w:r>
        <w:t>Option #1 Workday Integrations: KPMG would be responsible for delivering the Workday integrations as highlighted in our High-level Integration Architecture and Scope, Figure 3 below. While Goldman Sachs would be responsible for the middleware environments and integration development to the in-scope systems.</w:t>
      </w:r>
    </w:p>
    <w:p w14:paraId="12AE432C" w14:textId="77777777" w:rsidR="00BD0EC0" w:rsidRDefault="00BD0EC0" w:rsidP="00BD0EC0">
      <w:pPr>
        <w:pStyle w:val="ListBullet"/>
      </w:pPr>
      <w:r>
        <w:rPr>
          <w:rStyle w:val="Emphasis"/>
        </w:rPr>
        <w:t xml:space="preserve">Option #2 </w:t>
      </w:r>
      <w:r w:rsidRPr="005F7126">
        <w:rPr>
          <w:rStyle w:val="Emphasis"/>
        </w:rPr>
        <w:t>End</w:t>
      </w:r>
      <w:r>
        <w:rPr>
          <w:rStyle w:val="Emphasis"/>
        </w:rPr>
        <w:t>-</w:t>
      </w:r>
      <w:r w:rsidRPr="005F7126">
        <w:rPr>
          <w:rStyle w:val="Emphasis"/>
        </w:rPr>
        <w:t>to</w:t>
      </w:r>
      <w:r>
        <w:rPr>
          <w:rStyle w:val="Emphasis"/>
        </w:rPr>
        <w:t>-</w:t>
      </w:r>
      <w:r w:rsidRPr="005F7126">
        <w:rPr>
          <w:rStyle w:val="Emphasis"/>
        </w:rPr>
        <w:t>End integrations</w:t>
      </w:r>
      <w:r>
        <w:rPr>
          <w:rStyle w:val="FootnoteReference"/>
          <w:b/>
          <w:iCs/>
        </w:rPr>
        <w:footnoteReference w:id="1"/>
      </w:r>
      <w:r>
        <w:t xml:space="preserve">: KPMG would be responsible for delivering the Workday integrations as highlighted in our </w:t>
      </w:r>
      <w:r w:rsidRPr="00E83297">
        <w:t>High-level Integration Architecture and Scope</w:t>
      </w:r>
      <w:r>
        <w:t xml:space="preserve">, </w:t>
      </w:r>
      <w:r>
        <w:fldChar w:fldCharType="begin"/>
      </w:r>
      <w:r>
        <w:instrText xml:space="preserve"> REF _Ref85008818 \h </w:instrText>
      </w:r>
      <w:r>
        <w:fldChar w:fldCharType="separate"/>
      </w:r>
      <w:r w:rsidRPr="0054444B">
        <w:t xml:space="preserve">Figure </w:t>
      </w:r>
      <w:r>
        <w:rPr>
          <w:noProof/>
        </w:rPr>
        <w:t>3</w:t>
      </w:r>
      <w:r>
        <w:fldChar w:fldCharType="end"/>
      </w:r>
      <w:r>
        <w:t xml:space="preserve">, along with a </w:t>
      </w:r>
      <w:r w:rsidRPr="00D300A2">
        <w:rPr>
          <w:rStyle w:val="Emphasis"/>
        </w:rPr>
        <w:t>modern</w:t>
      </w:r>
      <w:r>
        <w:t xml:space="preserve">, </w:t>
      </w:r>
      <w:r w:rsidRPr="00D300A2">
        <w:rPr>
          <w:rStyle w:val="Emphasis"/>
        </w:rPr>
        <w:t>flexible</w:t>
      </w:r>
      <w:r>
        <w:t xml:space="preserve"> </w:t>
      </w:r>
      <w:r w:rsidRPr="00D300A2">
        <w:rPr>
          <w:rStyle w:val="Emphasis"/>
        </w:rPr>
        <w:t>approach</w:t>
      </w:r>
      <w:r>
        <w:t xml:space="preserve"> for building integrations using </w:t>
      </w:r>
      <w:r w:rsidRPr="00D300A2">
        <w:rPr>
          <w:rStyle w:val="Emphasis"/>
        </w:rPr>
        <w:t>microservices architecture</w:t>
      </w:r>
      <w:r>
        <w:t xml:space="preserve">, and </w:t>
      </w:r>
      <w:r w:rsidRPr="00D300A2">
        <w:rPr>
          <w:rStyle w:val="Emphasis"/>
        </w:rPr>
        <w:t>open standards</w:t>
      </w:r>
      <w:r>
        <w:rPr>
          <w:rStyle w:val="Emphasis"/>
        </w:rPr>
        <w:t>,</w:t>
      </w:r>
      <w:r w:rsidRPr="00D300A2">
        <w:rPr>
          <w:rStyle w:val="Emphasis"/>
        </w:rPr>
        <w:t xml:space="preserve"> and tools</w:t>
      </w:r>
      <w:r>
        <w:t xml:space="preserve"> to mitigate proprietary technology dependencies. Our suite of services can include:</w:t>
      </w:r>
    </w:p>
    <w:p w14:paraId="4253B0C6" w14:textId="77777777" w:rsidR="00BD0EC0" w:rsidRDefault="00BD0EC0" w:rsidP="00BD0EC0">
      <w:pPr>
        <w:pStyle w:val="ListBullet2"/>
      </w:pPr>
      <w:r w:rsidRPr="005360C2">
        <w:rPr>
          <w:rStyle w:val="Emphasis"/>
        </w:rPr>
        <w:t>MuleSoft Platform Setup:</w:t>
      </w:r>
      <w:r>
        <w:t xml:space="preserve"> Full cloud solution up and running within 1-2 weeks.</w:t>
      </w:r>
    </w:p>
    <w:p w14:paraId="1FB161D7" w14:textId="77777777" w:rsidR="00BD0EC0" w:rsidRDefault="00BD0EC0" w:rsidP="00BD0EC0">
      <w:pPr>
        <w:pStyle w:val="ListBullet2"/>
      </w:pPr>
      <w:r w:rsidRPr="003E3995">
        <w:rPr>
          <w:rStyle w:val="Emphasis"/>
        </w:rPr>
        <w:t>MuleSoft Platform Common Services:</w:t>
      </w:r>
      <w:r>
        <w:t xml:space="preserve"> Pre-built reusable runtime services that can save time and provide standardisation and consistency across projects within the business portfolio (e.g., Error Handling, Monitoring, Logging).</w:t>
      </w:r>
    </w:p>
    <w:p w14:paraId="73033AA3" w14:textId="77777777" w:rsidR="00BD0EC0" w:rsidRPr="005429B7" w:rsidRDefault="00BD0EC0" w:rsidP="00BD0EC0">
      <w:pPr>
        <w:pStyle w:val="ListBullet2"/>
        <w:rPr>
          <w:rStyle w:val="Emphasis"/>
          <w:b w:val="0"/>
        </w:rPr>
      </w:pPr>
      <w:r w:rsidRPr="006E0B39">
        <w:rPr>
          <w:rStyle w:val="Emphasis"/>
        </w:rPr>
        <w:t>DevOps Framework for MuleSoft</w:t>
      </w:r>
      <w:r>
        <w:rPr>
          <w:rStyle w:val="Emphasis"/>
        </w:rPr>
        <w:t xml:space="preserve">: </w:t>
      </w:r>
      <w:r w:rsidRPr="005429B7">
        <w:rPr>
          <w:rStyle w:val="Emphasis"/>
        </w:rPr>
        <w:t>Configurable framework to enable a Continuous Integration environment, including automated API testing.</w:t>
      </w:r>
      <w:r>
        <w:rPr>
          <w:rStyle w:val="Emphasis"/>
        </w:rPr>
        <w:t xml:space="preserve"> </w:t>
      </w:r>
      <w:r w:rsidRPr="00002557">
        <w:rPr>
          <w:rStyle w:val="Emphasis"/>
        </w:rPr>
        <w:t>Our framework allow</w:t>
      </w:r>
      <w:r w:rsidRPr="001F5DF2">
        <w:rPr>
          <w:rStyle w:val="Emphasis"/>
        </w:rPr>
        <w:t>s</w:t>
      </w:r>
      <w:r w:rsidRPr="00002557">
        <w:rPr>
          <w:rStyle w:val="Emphasis"/>
        </w:rPr>
        <w:t xml:space="preserve"> organisations to significantly improve quality and reduce overhead.</w:t>
      </w:r>
    </w:p>
    <w:p w14:paraId="5DED6EA2" w14:textId="77777777" w:rsidR="00BD0EC0" w:rsidRDefault="00BD0EC0" w:rsidP="00BD0EC0">
      <w:pPr>
        <w:pStyle w:val="ListBullet2"/>
      </w:pPr>
      <w:r w:rsidRPr="006C0D46">
        <w:rPr>
          <w:rStyle w:val="Emphasis"/>
        </w:rPr>
        <w:t>Integration Governance framework</w:t>
      </w:r>
      <w:r>
        <w:t xml:space="preserve">: </w:t>
      </w:r>
      <w:proofErr w:type="gramStart"/>
      <w:r>
        <w:t>Best</w:t>
      </w:r>
      <w:proofErr w:type="gramEnd"/>
      <w:r>
        <w:t xml:space="preserve"> practices, patterns, standards, and processes to support the development of integrations / APIs within the organisation in a consistent way.</w:t>
      </w:r>
    </w:p>
    <w:p w14:paraId="78BA1A95" w14:textId="537DEFE9" w:rsidR="00BD0EC0" w:rsidRPr="009061D1" w:rsidRDefault="00BD0EC0" w:rsidP="00BD0EC0">
      <w:pPr>
        <w:pStyle w:val="ListBullet2"/>
      </w:pPr>
      <w:r>
        <w:t>MuleSoft Integrations: Leverage our library of MuleSoft pre-built APIs to accelerate, integrate Goldman Sachs systems and deliver new employee experiences (e.g., fully automated onboarding, offboarding processes).</w:t>
      </w:r>
    </w:p>
    <w:p w14:paraId="169ACF40" w14:textId="77777777" w:rsidR="00BD0EC0" w:rsidRDefault="00BD0EC0" w:rsidP="00BD0EC0">
      <w:pPr>
        <w:pStyle w:val="ListBullet2"/>
      </w:pPr>
      <w:r>
        <w:rPr>
          <w:rStyle w:val="Emphasis"/>
        </w:rPr>
        <w:t>Enterprise Security</w:t>
      </w:r>
      <w:r w:rsidRPr="00310C08">
        <w:rPr>
          <w:rStyle w:val="Emphasis"/>
        </w:rPr>
        <w:t xml:space="preserve"> by Design</w:t>
      </w:r>
      <w:r>
        <w:t>: Boosting business agility with security.</w:t>
      </w:r>
    </w:p>
    <w:p w14:paraId="4C0D8D4F" w14:textId="77777777" w:rsidR="00BD0EC0" w:rsidRPr="00A95B5D" w:rsidRDefault="00BD0EC0" w:rsidP="00BD0EC0">
      <w:pPr>
        <w:pStyle w:val="ListBullet2"/>
      </w:pPr>
      <w:r w:rsidRPr="00F117B9">
        <w:rPr>
          <w:rStyle w:val="Emphasis"/>
        </w:rPr>
        <w:t xml:space="preserve">Full support to </w:t>
      </w:r>
      <w:proofErr w:type="gramStart"/>
      <w:r w:rsidRPr="00F117B9">
        <w:rPr>
          <w:rStyle w:val="Emphasis"/>
        </w:rPr>
        <w:t>Healthcare</w:t>
      </w:r>
      <w:proofErr w:type="gramEnd"/>
      <w:r w:rsidRPr="00F117B9">
        <w:rPr>
          <w:rStyle w:val="Emphasis"/>
        </w:rPr>
        <w:t xml:space="preserve"> solutions</w:t>
      </w:r>
      <w:r>
        <w:t>: Deliver a connected and interoperable patient journey in real-time through support of health standards such as FHIR, HL7, and SMART.</w:t>
      </w:r>
    </w:p>
    <w:p w14:paraId="3EF2FF58" w14:textId="77777777" w:rsidR="00BD0EC0" w:rsidRPr="0054444B" w:rsidRDefault="00BD0EC0" w:rsidP="00BD0EC0">
      <w:pPr>
        <w:pStyle w:val="Heading4"/>
      </w:pPr>
      <w:r w:rsidRPr="0054444B">
        <w:lastRenderedPageBreak/>
        <w:t>High-level Integration Architecture and Scope</w:t>
      </w:r>
    </w:p>
    <w:p w14:paraId="0B3A9F2D" w14:textId="77777777" w:rsidR="00BD0EC0" w:rsidRDefault="00BD0EC0" w:rsidP="00BD0EC0">
      <w:pPr>
        <w:pStyle w:val="BodyText"/>
      </w:pPr>
      <w:r w:rsidRPr="0054444B">
        <w:t>The recommended reference integration architecture has been depicted below</w:t>
      </w:r>
      <w:r>
        <w:t xml:space="preserve"> in </w:t>
      </w:r>
      <w:r w:rsidRPr="00EC3892">
        <w:rPr>
          <w:rStyle w:val="Emphasis"/>
        </w:rPr>
        <w:fldChar w:fldCharType="begin"/>
      </w:r>
      <w:r w:rsidRPr="00EC3892">
        <w:rPr>
          <w:rStyle w:val="Emphasis"/>
        </w:rPr>
        <w:instrText xml:space="preserve"> REF _Ref85008818 \h </w:instrText>
      </w:r>
      <w:r>
        <w:rPr>
          <w:rStyle w:val="Emphasis"/>
        </w:rPr>
        <w:instrText xml:space="preserve"> \* MERGEFORMAT </w:instrText>
      </w:r>
      <w:r w:rsidRPr="00EC3892">
        <w:rPr>
          <w:rStyle w:val="Emphasis"/>
        </w:rPr>
      </w:r>
      <w:r w:rsidRPr="00EC3892">
        <w:rPr>
          <w:rStyle w:val="Emphasis"/>
        </w:rPr>
        <w:fldChar w:fldCharType="separate"/>
      </w:r>
      <w:r w:rsidRPr="00EC3892">
        <w:rPr>
          <w:rStyle w:val="Emphasis"/>
        </w:rPr>
        <w:t>Figure 3</w:t>
      </w:r>
      <w:r w:rsidRPr="00EC3892">
        <w:rPr>
          <w:rStyle w:val="Emphasis"/>
        </w:rPr>
        <w:fldChar w:fldCharType="end"/>
      </w:r>
      <w:r>
        <w:t xml:space="preserve">. Please refer to </w:t>
      </w:r>
      <w:r>
        <w:fldChar w:fldCharType="begin"/>
      </w:r>
      <w:r>
        <w:instrText xml:space="preserve"> REF _Ref85098376 \h </w:instrText>
      </w:r>
      <w:r>
        <w:fldChar w:fldCharType="separate"/>
      </w:r>
      <w:r>
        <w:t>Appendix A: Interface Inventory Scope</w:t>
      </w:r>
      <w:r>
        <w:fldChar w:fldCharType="end"/>
      </w:r>
      <w:r>
        <w:t xml:space="preserve"> </w:t>
      </w:r>
      <w:r w:rsidRPr="00CC6234">
        <w:t>for KPMG's proposed interface inventory scope of for Workday HCM</w:t>
      </w:r>
      <w:r>
        <w:t>.</w:t>
      </w:r>
    </w:p>
    <w:p w14:paraId="62F92A68" w14:textId="77777777" w:rsidR="00BD0EC0" w:rsidRDefault="00BD0EC0" w:rsidP="00BD0EC0">
      <w:pPr>
        <w:pStyle w:val="BodyText"/>
        <w:rPr>
          <w:lang w:eastAsia="en-AU"/>
        </w:rPr>
        <w:sectPr w:rsidR="00BD0EC0" w:rsidSect="00082380">
          <w:headerReference w:type="even" r:id="rId8"/>
          <w:headerReference w:type="default" r:id="rId9"/>
          <w:footerReference w:type="even" r:id="rId10"/>
          <w:footerReference w:type="default" r:id="rId11"/>
          <w:headerReference w:type="first" r:id="rId12"/>
          <w:footerReference w:type="first" r:id="rId13"/>
          <w:pgSz w:w="11907" w:h="16839" w:code="9"/>
          <w:pgMar w:top="1418" w:right="1134" w:bottom="1418" w:left="1134" w:header="680" w:footer="567" w:gutter="0"/>
          <w:cols w:space="708"/>
          <w:docGrid w:linePitch="360"/>
        </w:sectPr>
      </w:pPr>
      <w:r>
        <w:fldChar w:fldCharType="begin"/>
      </w:r>
      <w:r>
        <w:instrText xml:space="preserve"> REF _Ref85008831 \h  \* MERGEFORMAT </w:instrText>
      </w:r>
      <w:r>
        <w:fldChar w:fldCharType="separate"/>
      </w:r>
      <w:r>
        <w:rPr>
          <w:lang w:eastAsia="en-AU"/>
        </w:rPr>
        <w:br w:type="page"/>
      </w:r>
    </w:p>
    <w:p w14:paraId="0BDCC64E" w14:textId="77777777" w:rsidR="00BD0EC0" w:rsidRPr="0054444B" w:rsidRDefault="00BD0EC0" w:rsidP="00BD0EC0">
      <w:pPr>
        <w:pStyle w:val="BodyText"/>
      </w:pPr>
      <w:r>
        <w:lastRenderedPageBreak/>
        <w:fldChar w:fldCharType="end"/>
      </w:r>
      <w:r w:rsidRPr="0054444B">
        <w:rPr>
          <w:noProof/>
        </w:rPr>
        <w:drawing>
          <wp:inline distT="0" distB="0" distL="0" distR="0" wp14:anchorId="0A502628" wp14:editId="3FD477D7">
            <wp:extent cx="8640000" cy="4622400"/>
            <wp:effectExtent l="0" t="0" r="889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640000" cy="4622400"/>
                    </a:xfrm>
                    <a:prstGeom prst="rect">
                      <a:avLst/>
                    </a:prstGeom>
                    <a:noFill/>
                  </pic:spPr>
                </pic:pic>
              </a:graphicData>
            </a:graphic>
          </wp:inline>
        </w:drawing>
      </w:r>
    </w:p>
    <w:p w14:paraId="2FB04EBE" w14:textId="77777777" w:rsidR="00BD0EC0" w:rsidRPr="0054444B" w:rsidRDefault="00BD0EC0" w:rsidP="00BD0EC0">
      <w:pPr>
        <w:pStyle w:val="Caption"/>
        <w:jc w:val="center"/>
      </w:pPr>
      <w:bookmarkStart w:id="0" w:name="_Ref85008818"/>
      <w:bookmarkStart w:id="1" w:name="_Toc84576229"/>
      <w:bookmarkStart w:id="2" w:name="_Toc84834141"/>
      <w:r w:rsidRPr="0054444B">
        <w:lastRenderedPageBreak/>
        <w:t xml:space="preserve">Figure </w:t>
      </w:r>
      <w:r>
        <w:fldChar w:fldCharType="begin"/>
      </w:r>
      <w:r>
        <w:instrText xml:space="preserve"> SEQ Figure \* ARABIC </w:instrText>
      </w:r>
      <w:r>
        <w:fldChar w:fldCharType="separate"/>
      </w:r>
      <w:r>
        <w:rPr>
          <w:noProof/>
        </w:rPr>
        <w:t>3</w:t>
      </w:r>
      <w:r>
        <w:rPr>
          <w:noProof/>
        </w:rPr>
        <w:fldChar w:fldCharType="end"/>
      </w:r>
      <w:bookmarkEnd w:id="0"/>
      <w:r w:rsidRPr="0054444B">
        <w:t>: KPMG Proposed Integration Architecture.</w:t>
      </w:r>
      <w:bookmarkEnd w:id="1"/>
      <w:bookmarkEnd w:id="2"/>
    </w:p>
    <w:p w14:paraId="19C98F8A" w14:textId="77777777" w:rsidR="00BD0EC0" w:rsidRDefault="00BD0EC0" w:rsidP="00BD0EC0"/>
    <w:p w14:paraId="649463AB" w14:textId="77777777" w:rsidR="00BD0EC0" w:rsidRDefault="00BD0EC0" w:rsidP="00BD0EC0">
      <w:pPr>
        <w:sectPr w:rsidR="00BD0EC0" w:rsidSect="00294ED6">
          <w:pgSz w:w="16839" w:h="11907" w:orient="landscape" w:code="9"/>
          <w:pgMar w:top="1134" w:right="1418" w:bottom="1134" w:left="1418" w:header="680" w:footer="567" w:gutter="0"/>
          <w:cols w:space="708"/>
          <w:docGrid w:linePitch="360"/>
        </w:sectPr>
      </w:pPr>
    </w:p>
    <w:p w14:paraId="2BC07C5A" w14:textId="77777777" w:rsidR="00BD0EC0" w:rsidRPr="0094616E" w:rsidRDefault="00BD0EC0" w:rsidP="00BD0EC0">
      <w:pPr>
        <w:pStyle w:val="Heading4"/>
      </w:pPr>
      <w:r w:rsidRPr="0094616E">
        <w:lastRenderedPageBreak/>
        <w:t>Workday Integration Cloud</w:t>
      </w:r>
    </w:p>
    <w:p w14:paraId="126F4B62" w14:textId="77777777" w:rsidR="00BD0EC0" w:rsidRDefault="00BD0EC0" w:rsidP="00BD0EC0">
      <w:pPr>
        <w:pStyle w:val="BodyText"/>
      </w:pPr>
      <w:r w:rsidRPr="0028363E">
        <w:t>Workday Integration Cloud is a complete solution to build, deploy, and manage integrations to, and from Workday. An Integration Platform-as-a-Service, Workday Integration Cloud is a foundational element of the Workday technology stack and powered by an embedded E</w:t>
      </w:r>
      <w:r>
        <w:t>nterprise Service Bus (ESB)</w:t>
      </w:r>
      <w:r w:rsidRPr="0028363E">
        <w:t xml:space="preserve"> at its core.</w:t>
      </w:r>
    </w:p>
    <w:p w14:paraId="52ABBB67" w14:textId="77777777" w:rsidR="00BD0EC0" w:rsidRPr="004C1680" w:rsidRDefault="00BD0EC0" w:rsidP="00BD0EC0">
      <w:pPr>
        <w:pStyle w:val="BodyText"/>
        <w:jc w:val="center"/>
      </w:pPr>
      <w:r w:rsidRPr="003C70D8">
        <w:rPr>
          <w:noProof/>
        </w:rPr>
        <w:drawing>
          <wp:inline distT="0" distB="0" distL="0" distR="0" wp14:anchorId="55064C7E" wp14:editId="6DB1725C">
            <wp:extent cx="5940000" cy="32796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000" cy="3279600"/>
                    </a:xfrm>
                    <a:prstGeom prst="rect">
                      <a:avLst/>
                    </a:prstGeom>
                    <a:noFill/>
                  </pic:spPr>
                </pic:pic>
              </a:graphicData>
            </a:graphic>
          </wp:inline>
        </w:drawing>
      </w:r>
    </w:p>
    <w:p w14:paraId="21413F3A" w14:textId="77777777" w:rsidR="00BD0EC0" w:rsidRPr="003C70D8" w:rsidRDefault="00BD0EC0" w:rsidP="00BD0EC0">
      <w:pPr>
        <w:pStyle w:val="Caption"/>
        <w:jc w:val="center"/>
      </w:pPr>
      <w:bookmarkStart w:id="3" w:name="_Toc84576230"/>
      <w:bookmarkStart w:id="4" w:name="_Toc84834142"/>
      <w:r>
        <w:t xml:space="preserve">Figure </w:t>
      </w:r>
      <w:r>
        <w:fldChar w:fldCharType="begin"/>
      </w:r>
      <w:r>
        <w:instrText xml:space="preserve"> SEQ Figure \* ARABIC </w:instrText>
      </w:r>
      <w:r>
        <w:fldChar w:fldCharType="separate"/>
      </w:r>
      <w:r>
        <w:rPr>
          <w:noProof/>
        </w:rPr>
        <w:t>4</w:t>
      </w:r>
      <w:r>
        <w:rPr>
          <w:noProof/>
        </w:rPr>
        <w:fldChar w:fldCharType="end"/>
      </w:r>
      <w:r w:rsidRPr="003C70D8">
        <w:t>: Workday's API and Integration Cloud Platform.</w:t>
      </w:r>
      <w:bookmarkEnd w:id="3"/>
      <w:bookmarkEnd w:id="4"/>
    </w:p>
    <w:p w14:paraId="5F23619F" w14:textId="77777777" w:rsidR="00BD0EC0" w:rsidRPr="00C93465" w:rsidRDefault="00BD0EC0" w:rsidP="00BD0EC0">
      <w:pPr>
        <w:pStyle w:val="BodyText"/>
      </w:pPr>
      <w:r w:rsidRPr="00C93465">
        <w:t>Workday Integration Cloud approach provides simpler connectivity to third-party services, and applications. Workday’s enterprise-class Integration Platform-as-a-Service (iPaaS) allows all integrations to deploy to, and run in, the Workday cloud.</w:t>
      </w:r>
    </w:p>
    <w:p w14:paraId="6B64EA86" w14:textId="6D048946" w:rsidR="00BD0EC0" w:rsidRPr="00C93465" w:rsidRDefault="00BD0EC0" w:rsidP="00BD0EC0">
      <w:pPr>
        <w:pStyle w:val="BodyText"/>
      </w:pPr>
      <w:r>
        <w:t>The Workday Integration Cloud would help Goldman Sachs to fulfil the following objectives:</w:t>
      </w:r>
    </w:p>
    <w:p w14:paraId="198607C0" w14:textId="77777777" w:rsidR="00BD0EC0" w:rsidRPr="00C93465" w:rsidRDefault="00BD0EC0" w:rsidP="00BD0EC0">
      <w:pPr>
        <w:pStyle w:val="ListBullet"/>
      </w:pPr>
      <w:r w:rsidRPr="00C93465">
        <w:t>Facilitate the creation, deployment, optimisation, maintenance, and monitoring using Workday UI.</w:t>
      </w:r>
    </w:p>
    <w:p w14:paraId="45E407F9" w14:textId="77777777" w:rsidR="00BD0EC0" w:rsidRPr="00C93465" w:rsidRDefault="00BD0EC0" w:rsidP="00BD0EC0">
      <w:pPr>
        <w:pStyle w:val="ListBullet"/>
      </w:pPr>
      <w:r w:rsidRPr="00C93465">
        <w:t>Provide scalable and flexible integration layer.</w:t>
      </w:r>
    </w:p>
    <w:p w14:paraId="5812B046" w14:textId="77777777" w:rsidR="00BD0EC0" w:rsidRPr="00C93465" w:rsidRDefault="00BD0EC0" w:rsidP="00BD0EC0">
      <w:pPr>
        <w:pStyle w:val="ListBullet"/>
      </w:pPr>
      <w:r w:rsidRPr="00C93465">
        <w:t>Interconnect and support the latest industry standards, protocols, and formats.</w:t>
      </w:r>
    </w:p>
    <w:p w14:paraId="60015EF2" w14:textId="77777777" w:rsidR="00BD0EC0" w:rsidRPr="00492E91" w:rsidRDefault="00BD0EC0" w:rsidP="00BD0EC0">
      <w:pPr>
        <w:pStyle w:val="ListBullet"/>
      </w:pPr>
      <w:r w:rsidRPr="00C93465">
        <w:t>To simplify and accelerate the process of integrating with Workday, we provide a series of pre-built and configurable connectors.</w:t>
      </w:r>
    </w:p>
    <w:p w14:paraId="2FA44ADF" w14:textId="77777777" w:rsidR="00BD0EC0" w:rsidRDefault="00BD0EC0" w:rsidP="00BD0EC0">
      <w:pPr>
        <w:pStyle w:val="Heading4"/>
      </w:pPr>
      <w:r w:rsidRPr="0044184F">
        <w:lastRenderedPageBreak/>
        <w:t>Workday Connectors and Tools</w:t>
      </w:r>
    </w:p>
    <w:p w14:paraId="4CD92880" w14:textId="77777777" w:rsidR="00BD0EC0" w:rsidRPr="0094616E" w:rsidRDefault="00BD0EC0" w:rsidP="00BD0EC0">
      <w:pPr>
        <w:pStyle w:val="BodyText"/>
        <w:rPr>
          <w:rStyle w:val="Emphasis"/>
        </w:rPr>
      </w:pPr>
      <w:r w:rsidRPr="0094616E">
        <w:rPr>
          <w:rStyle w:val="Emphasis"/>
        </w:rPr>
        <w:t>Certified Connectors</w:t>
      </w:r>
    </w:p>
    <w:p w14:paraId="41F38806" w14:textId="77777777" w:rsidR="00BD0EC0" w:rsidRPr="008526CC" w:rsidRDefault="00BD0EC0" w:rsidP="00BD0EC0">
      <w:pPr>
        <w:pStyle w:val="BodyText"/>
      </w:pPr>
      <w:r w:rsidRPr="008526CC">
        <w:t xml:space="preserve">Certified connectors are built, implemented, and supported by Workday, and their partners. They are adaptable and configurable, and dramatically lower the time required for you to implement integrations by providing everything required to integrate a third-party system with Workday, such as processing logic, data transformation, and error handling routines. Workday, in conjunction with their partners, maintains these packaged integrations. </w:t>
      </w:r>
      <w:proofErr w:type="gramStart"/>
      <w:r w:rsidRPr="008526CC">
        <w:t>Workday</w:t>
      </w:r>
      <w:proofErr w:type="gramEnd"/>
      <w:r w:rsidRPr="008526CC">
        <w:t xml:space="preserve"> adapt them to address new features and functionality within Workday core applications (for example, compliance updates), as well as update the tooling and technology powering these connectors.</w:t>
      </w:r>
    </w:p>
    <w:p w14:paraId="36B619A2" w14:textId="77777777" w:rsidR="00BD0EC0" w:rsidRPr="0094616E" w:rsidRDefault="00BD0EC0" w:rsidP="00BD0EC0">
      <w:pPr>
        <w:pStyle w:val="BodyText"/>
        <w:rPr>
          <w:rStyle w:val="Emphasis"/>
        </w:rPr>
      </w:pPr>
      <w:r w:rsidRPr="0094616E">
        <w:rPr>
          <w:rStyle w:val="Emphasis"/>
        </w:rPr>
        <w:t>E</w:t>
      </w:r>
      <w:r>
        <w:rPr>
          <w:rStyle w:val="Emphasis"/>
        </w:rPr>
        <w:t>IB</w:t>
      </w:r>
    </w:p>
    <w:p w14:paraId="03023253" w14:textId="77777777" w:rsidR="00BD0EC0" w:rsidRDefault="00BD0EC0" w:rsidP="00BD0EC0">
      <w:pPr>
        <w:pStyle w:val="BodyText"/>
      </w:pPr>
      <w:r w:rsidRPr="006D319F">
        <w:t>The Workday EIB tool would provide an easy-to-use graphical and guided interface to define inbound and outbound integrations without requiring any programming. The EIB tool could be used by both business and IT users to address a variety of integration needs.</w:t>
      </w:r>
    </w:p>
    <w:p w14:paraId="06513ECC" w14:textId="77777777" w:rsidR="00BD0EC0" w:rsidRPr="003C70D8" w:rsidRDefault="00BD0EC0" w:rsidP="00BD0EC0">
      <w:pPr>
        <w:pStyle w:val="BodyText"/>
        <w:jc w:val="center"/>
      </w:pPr>
      <w:r w:rsidRPr="003C70D8">
        <w:rPr>
          <w:noProof/>
        </w:rPr>
        <w:drawing>
          <wp:inline distT="0" distB="0" distL="0" distR="0" wp14:anchorId="4B7D258A" wp14:editId="1B15EB30">
            <wp:extent cx="2720340" cy="2907983"/>
            <wp:effectExtent l="0" t="0" r="381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615" cy="2921104"/>
                    </a:xfrm>
                    <a:prstGeom prst="rect">
                      <a:avLst/>
                    </a:prstGeom>
                    <a:noFill/>
                  </pic:spPr>
                </pic:pic>
              </a:graphicData>
            </a:graphic>
          </wp:inline>
        </w:drawing>
      </w:r>
    </w:p>
    <w:p w14:paraId="75E2C4C4" w14:textId="77777777" w:rsidR="00BD0EC0" w:rsidRPr="003C70D8" w:rsidRDefault="00BD0EC0" w:rsidP="00BD0EC0">
      <w:pPr>
        <w:pStyle w:val="Caption"/>
        <w:jc w:val="center"/>
      </w:pPr>
      <w:bookmarkStart w:id="5" w:name="_Toc84576231"/>
      <w:bookmarkStart w:id="6" w:name="_Toc84834143"/>
      <w:r>
        <w:t xml:space="preserve">Figure </w:t>
      </w:r>
      <w:r>
        <w:fldChar w:fldCharType="begin"/>
      </w:r>
      <w:r>
        <w:instrText xml:space="preserve"> SEQ Figure \* ARABIC </w:instrText>
      </w:r>
      <w:r>
        <w:fldChar w:fldCharType="separate"/>
      </w:r>
      <w:r>
        <w:rPr>
          <w:noProof/>
        </w:rPr>
        <w:t>5</w:t>
      </w:r>
      <w:r>
        <w:rPr>
          <w:noProof/>
        </w:rPr>
        <w:fldChar w:fldCharType="end"/>
      </w:r>
      <w:r w:rsidRPr="003C70D8">
        <w:t>: Workday Connector and Tools.</w:t>
      </w:r>
      <w:bookmarkEnd w:id="5"/>
      <w:bookmarkEnd w:id="6"/>
    </w:p>
    <w:p w14:paraId="17A38DEE" w14:textId="77777777" w:rsidR="00BD0EC0" w:rsidRPr="007B4742" w:rsidRDefault="00BD0EC0" w:rsidP="00BD0EC0">
      <w:pPr>
        <w:pStyle w:val="BodyText"/>
        <w:rPr>
          <w:rStyle w:val="Emphasis"/>
        </w:rPr>
      </w:pPr>
      <w:r w:rsidRPr="007B4742">
        <w:rPr>
          <w:rStyle w:val="Emphasis"/>
        </w:rPr>
        <w:t>Outbound EIBs</w:t>
      </w:r>
    </w:p>
    <w:p w14:paraId="78889C07" w14:textId="1621477F" w:rsidR="00BD0EC0" w:rsidRPr="007B4742" w:rsidRDefault="00BD0EC0" w:rsidP="00BD0EC0">
      <w:pPr>
        <w:pStyle w:val="BodyText"/>
      </w:pPr>
      <w:r>
        <w:t>Outbound EIBs would extract information from the Workday system, and either attach it back to the Goldman Sachs tenant for future use or reference or send it somewhere for further processing. Currently, over 75% of outbound EIBs currently in the Workday production environment globally send a file to an external destination via sftp.</w:t>
      </w:r>
    </w:p>
    <w:p w14:paraId="2BD6BE11" w14:textId="77777777" w:rsidR="00BD0EC0" w:rsidRPr="007B4742" w:rsidRDefault="00BD0EC0" w:rsidP="00BD0EC0">
      <w:pPr>
        <w:pStyle w:val="BodyText"/>
        <w:rPr>
          <w:rStyle w:val="Emphasis"/>
        </w:rPr>
      </w:pPr>
      <w:r w:rsidRPr="007B4742">
        <w:rPr>
          <w:rStyle w:val="Emphasis"/>
        </w:rPr>
        <w:lastRenderedPageBreak/>
        <w:t>Inbound EIBs</w:t>
      </w:r>
    </w:p>
    <w:p w14:paraId="68466006" w14:textId="77777777" w:rsidR="00BD0EC0" w:rsidRDefault="00BD0EC0" w:rsidP="00BD0EC0">
      <w:pPr>
        <w:pStyle w:val="BodyText"/>
      </w:pPr>
      <w:r w:rsidRPr="007B4742">
        <w:t>For use cases that have significant data requirements there may be a requirement to upload information directly to the Workday system. In this case, an inbound file would be provided and associated with a custom transformation. This transformation would convert the data into a format suitable for sending to a Workday Web Service.</w:t>
      </w:r>
    </w:p>
    <w:p w14:paraId="6EDEBBD1" w14:textId="77777777" w:rsidR="00BD0EC0" w:rsidRPr="0094616E" w:rsidRDefault="00BD0EC0" w:rsidP="00BD0EC0">
      <w:pPr>
        <w:pStyle w:val="BodyText"/>
        <w:rPr>
          <w:rStyle w:val="Emphasis"/>
        </w:rPr>
      </w:pPr>
      <w:r w:rsidRPr="0094616E">
        <w:rPr>
          <w:rStyle w:val="Emphasis"/>
        </w:rPr>
        <w:t>Workday Studio</w:t>
      </w:r>
    </w:p>
    <w:p w14:paraId="71D82181" w14:textId="77777777" w:rsidR="00BD0EC0" w:rsidRPr="00992C6C" w:rsidRDefault="00BD0EC0" w:rsidP="00BD0EC0">
      <w:pPr>
        <w:pStyle w:val="BodyText"/>
      </w:pPr>
      <w:r w:rsidRPr="00992C6C">
        <w:t>Workday Studio is a development tool that would enable development of sophisticated integrations to and from Workday. These integrations would be deployed and run on the Client’s behalf on integration servers in Workday’s data centre. The Workday Studio would be used by technical developers for integrations that may have characteristics such as:</w:t>
      </w:r>
    </w:p>
    <w:p w14:paraId="0B8A5750" w14:textId="77777777" w:rsidR="00BD0EC0" w:rsidRPr="00992C6C" w:rsidRDefault="00BD0EC0" w:rsidP="00BD0EC0">
      <w:pPr>
        <w:pStyle w:val="ListBullet"/>
      </w:pPr>
      <w:r w:rsidRPr="00992C6C">
        <w:t>Multiple different data sources and/or delivery requirements.</w:t>
      </w:r>
    </w:p>
    <w:p w14:paraId="55445EDE" w14:textId="77777777" w:rsidR="00BD0EC0" w:rsidRPr="00992C6C" w:rsidRDefault="00BD0EC0" w:rsidP="00BD0EC0">
      <w:pPr>
        <w:pStyle w:val="ListBullet"/>
      </w:pPr>
      <w:r w:rsidRPr="00992C6C">
        <w:t>Scalable and efficient processing of potentially very large data sets (up to tens of gigabytes).</w:t>
      </w:r>
    </w:p>
    <w:p w14:paraId="3AF85D70" w14:textId="77777777" w:rsidR="00BD0EC0" w:rsidRPr="00992C6C" w:rsidRDefault="00BD0EC0" w:rsidP="00BD0EC0">
      <w:pPr>
        <w:pStyle w:val="ListBullet"/>
      </w:pPr>
      <w:r w:rsidRPr="00992C6C">
        <w:t>Complex looping or branching logic based on dynamic data or external variables.</w:t>
      </w:r>
    </w:p>
    <w:p w14:paraId="65257604" w14:textId="77777777" w:rsidR="00BD0EC0" w:rsidRPr="00992C6C" w:rsidRDefault="00BD0EC0" w:rsidP="00BD0EC0">
      <w:pPr>
        <w:pStyle w:val="ListBullet"/>
      </w:pPr>
      <w:r w:rsidRPr="00992C6C">
        <w:t>Sophisticated change detection requirements.</w:t>
      </w:r>
    </w:p>
    <w:p w14:paraId="692D599B" w14:textId="77777777" w:rsidR="00BD0EC0" w:rsidRPr="00992C6C" w:rsidRDefault="00BD0EC0" w:rsidP="00BD0EC0">
      <w:pPr>
        <w:pStyle w:val="ListBullet"/>
      </w:pPr>
      <w:r w:rsidRPr="00992C6C">
        <w:t>Complex error scenarios and corresponding need to react differently to error conditions.</w:t>
      </w:r>
    </w:p>
    <w:p w14:paraId="0BD38D91" w14:textId="77777777" w:rsidR="00BD0EC0" w:rsidRDefault="00BD0EC0" w:rsidP="00BD0EC0">
      <w:pPr>
        <w:pStyle w:val="ListBullet"/>
      </w:pPr>
      <w:r w:rsidRPr="00992C6C">
        <w:t>Need for rigorous source code control, unit testing, debugging, logging, and other formal development Disciplines.</w:t>
      </w:r>
    </w:p>
    <w:p w14:paraId="4DEAA9A0" w14:textId="3F2D37C8" w:rsidR="00BD0EC0" w:rsidRDefault="00BD0EC0" w:rsidP="00BD0EC0">
      <w:pPr>
        <w:pStyle w:val="BodyText"/>
      </w:pPr>
      <w:r>
        <w:t>Workday Integration Cloud aligns with the requirements for the Goldman Sachs HRIS Project. The diagram below depicts the integration architecture that we have considered for Goldman Sachs and incorporates two phases per the deployment approach proposed.</w:t>
      </w:r>
    </w:p>
    <w:p w14:paraId="3E7A3093" w14:textId="5B626262" w:rsidR="00BD0EC0" w:rsidRDefault="00BD0EC0" w:rsidP="00BD0EC0">
      <w:pPr>
        <w:pStyle w:val="BodyText"/>
      </w:pPr>
      <w:r>
        <w:t>As suggested by Goldman Sachs, first 4-5 months will be dedicated to detailed process harmonisation and requirements gathering (Functional and Non-Functional) across Group Services and Hospitals. KPMG would carry out the following activities to achieve scalable, agile, performant integration Solution Design at the end of the phase:</w:t>
      </w:r>
    </w:p>
    <w:p w14:paraId="70A63BE2" w14:textId="0D0A40D6" w:rsidR="00BD0EC0" w:rsidRPr="00064899" w:rsidRDefault="00BD0EC0" w:rsidP="00BD0EC0">
      <w:pPr>
        <w:pStyle w:val="BodyText"/>
      </w:pPr>
      <w:r>
        <w:t>KPMG proposes to conduct multiple integration discovery workshops during requirement gathering phase with business stakeholders, Goldman Sachs solution architects, security /infrastructure architects and key personnel to understand integration needs both functional and non-functional.</w:t>
      </w:r>
    </w:p>
    <w:p w14:paraId="34544E0E" w14:textId="77777777" w:rsidR="00BD0EC0" w:rsidRPr="00333C5A" w:rsidRDefault="00BD0EC0" w:rsidP="00BD0EC0">
      <w:pPr>
        <w:pStyle w:val="BodyText"/>
      </w:pPr>
      <w:r>
        <w:t xml:space="preserve">This will enable us to </w:t>
      </w:r>
      <w:r w:rsidRPr="00333C5A">
        <w:t>validate:</w:t>
      </w:r>
    </w:p>
    <w:p w14:paraId="214339CB" w14:textId="77777777" w:rsidR="00BD0EC0" w:rsidRPr="00333C5A" w:rsidRDefault="00BD0EC0" w:rsidP="00BD0EC0">
      <w:pPr>
        <w:pStyle w:val="ListBullet"/>
      </w:pPr>
      <w:r>
        <w:t>T</w:t>
      </w:r>
      <w:r w:rsidRPr="00333C5A">
        <w:t>he reference architecture</w:t>
      </w:r>
      <w:r>
        <w:t>.</w:t>
      </w:r>
    </w:p>
    <w:p w14:paraId="2B0CD7E5" w14:textId="77777777" w:rsidR="00BD0EC0" w:rsidRPr="00333C5A" w:rsidRDefault="00BD0EC0" w:rsidP="00BD0EC0">
      <w:pPr>
        <w:pStyle w:val="ListBullet"/>
      </w:pPr>
      <w:r>
        <w:t>C</w:t>
      </w:r>
      <w:r w:rsidRPr="00333C5A">
        <w:t>onfirm the scope of work by validating integration interface inventory and validate the timelines</w:t>
      </w:r>
      <w:r>
        <w:t>.</w:t>
      </w:r>
    </w:p>
    <w:p w14:paraId="26C33A0B" w14:textId="77777777" w:rsidR="00BD0EC0" w:rsidRPr="00333C5A" w:rsidRDefault="00BD0EC0" w:rsidP="00BD0EC0">
      <w:pPr>
        <w:pStyle w:val="ListBullet"/>
      </w:pPr>
      <w:r>
        <w:lastRenderedPageBreak/>
        <w:t>D</w:t>
      </w:r>
      <w:r w:rsidRPr="00333C5A">
        <w:t>efine and confirm high</w:t>
      </w:r>
      <w:r>
        <w:t>-</w:t>
      </w:r>
      <w:r w:rsidRPr="00333C5A">
        <w:t>level enterprise integration design patterns</w:t>
      </w:r>
      <w:r>
        <w:t>.</w:t>
      </w:r>
    </w:p>
    <w:p w14:paraId="2A968746" w14:textId="77777777" w:rsidR="00BD0EC0" w:rsidRPr="00333C5A" w:rsidRDefault="00BD0EC0" w:rsidP="00BD0EC0">
      <w:pPr>
        <w:pStyle w:val="ListBullet"/>
      </w:pPr>
      <w:r>
        <w:t xml:space="preserve">Understand </w:t>
      </w:r>
      <w:r w:rsidRPr="00333C5A">
        <w:t>security and compliance requirement such as adherence to HL7 messaging protocols</w:t>
      </w:r>
      <w:r>
        <w:t>.</w:t>
      </w:r>
    </w:p>
    <w:p w14:paraId="6BD042A6" w14:textId="77777777" w:rsidR="00BD0EC0" w:rsidRPr="00333C5A" w:rsidRDefault="00BD0EC0" w:rsidP="00BD0EC0">
      <w:pPr>
        <w:pStyle w:val="ListBullet"/>
      </w:pPr>
      <w:r>
        <w:t xml:space="preserve">Understand </w:t>
      </w:r>
      <w:r w:rsidRPr="00333C5A">
        <w:t>high availability, scalability, and reliability requirement</w:t>
      </w:r>
      <w:r>
        <w:t>.</w:t>
      </w:r>
    </w:p>
    <w:p w14:paraId="2F99B951" w14:textId="77777777" w:rsidR="00BD0EC0" w:rsidRDefault="00BD0EC0" w:rsidP="00BD0EC0">
      <w:pPr>
        <w:pStyle w:val="BodyText"/>
      </w:pPr>
      <w:r>
        <w:t>Currently we have assumed that most of the integrations will follow asynchronous file-based integration using Workday predefined format and Canonical Data Model (CDM). However, this will be validated during design phase.</w:t>
      </w:r>
    </w:p>
    <w:p w14:paraId="37671831" w14:textId="77777777" w:rsidR="00BD0EC0" w:rsidRPr="009B7C6F" w:rsidRDefault="00BD0EC0" w:rsidP="00BD0EC0">
      <w:pPr>
        <w:pStyle w:val="BodyText"/>
      </w:pPr>
      <w:r w:rsidRPr="009B7C6F">
        <w:t>During Design phase, KPMG team will arrange multiple design sessions to finalise the respective</w:t>
      </w:r>
      <w:r>
        <w:t xml:space="preserve"> </w:t>
      </w:r>
      <w:r w:rsidRPr="009B7C6F">
        <w:t>integration interface design.</w:t>
      </w:r>
    </w:p>
    <w:p w14:paraId="0917D962" w14:textId="77777777" w:rsidR="00BD0EC0" w:rsidRDefault="00BD0EC0" w:rsidP="00BD0EC0">
      <w:pPr>
        <w:pStyle w:val="BodyText"/>
      </w:pPr>
      <w:r w:rsidRPr="007129E6">
        <w:t>This will include workshops to finalise the transformation / mapping, exception handling frameworks</w:t>
      </w:r>
      <w:r>
        <w:t>,</w:t>
      </w:r>
      <w:r w:rsidRPr="007129E6">
        <w:t xml:space="preserve"> and necessary building blocks to implement the interfaces.</w:t>
      </w:r>
      <w:r>
        <w:t xml:space="preserve"> KPMG team will try to leverage the KPMG powered integration assets to expedite overall implementation phase.</w:t>
      </w:r>
    </w:p>
    <w:p w14:paraId="72FB4650" w14:textId="77777777" w:rsidR="00BD0EC0" w:rsidRDefault="00BD0EC0" w:rsidP="00BD0EC0">
      <w:pPr>
        <w:pStyle w:val="BodyText"/>
      </w:pPr>
      <w:r>
        <w:br w:type="page"/>
      </w:r>
    </w:p>
    <w:p w14:paraId="2CC5505E" w14:textId="77777777" w:rsidR="00BD0EC0" w:rsidRDefault="00BD0EC0" w:rsidP="00BD0EC0">
      <w:pPr>
        <w:pStyle w:val="Heading4"/>
      </w:pPr>
      <w:r>
        <w:lastRenderedPageBreak/>
        <w:t>Our Implementation Experience</w:t>
      </w:r>
    </w:p>
    <w:p w14:paraId="28A8EFCE" w14:textId="2DBDA8B3" w:rsidR="00BD0EC0" w:rsidRDefault="00BD0EC0" w:rsidP="00BD0EC0">
      <w:pPr>
        <w:pStyle w:val="BodyText"/>
      </w:pPr>
      <w:r>
        <w:t>Table 7 below describes our experience integrating to Goldman Sachs key systems.</w:t>
      </w:r>
    </w:p>
    <w:p w14:paraId="74047A83" w14:textId="1F87030F" w:rsidR="00BD0EC0" w:rsidRDefault="00BD0EC0" w:rsidP="00BD0EC0">
      <w:pPr>
        <w:pStyle w:val="Caption"/>
        <w:keepNext/>
      </w:pPr>
      <w:r>
        <w:t>Table 7: KPMG's Integration Experience with Goldman Sachs Corporate Applications.</w:t>
      </w:r>
    </w:p>
    <w:tbl>
      <w:tblPr>
        <w:tblStyle w:val="KPMGTable2"/>
        <w:tblW w:w="0" w:type="auto"/>
        <w:tblLook w:val="00A0" w:firstRow="1" w:lastRow="0" w:firstColumn="1" w:lastColumn="0" w:noHBand="0" w:noVBand="0"/>
        <w:tblCaption w:val="Table_1"/>
      </w:tblPr>
      <w:tblGrid>
        <w:gridCol w:w="4301"/>
        <w:gridCol w:w="1501"/>
        <w:gridCol w:w="1564"/>
        <w:gridCol w:w="1984"/>
      </w:tblGrid>
      <w:tr w:rsidR="00BD0EC0" w:rsidRPr="008E36AB" w14:paraId="26D330AF" w14:textId="77777777" w:rsidTr="00A46DD2">
        <w:trPr>
          <w:cnfStyle w:val="100000000000" w:firstRow="1" w:lastRow="0" w:firstColumn="0" w:lastColumn="0" w:oddVBand="0" w:evenVBand="0" w:oddHBand="0" w:evenHBand="0" w:firstRowFirstColumn="0" w:firstRowLastColumn="0" w:lastRowFirstColumn="0" w:lastRowLastColumn="0"/>
          <w:trHeight w:val="560"/>
        </w:trPr>
        <w:tc>
          <w:tcPr>
            <w:tcW w:w="0" w:type="auto"/>
            <w:noWrap/>
          </w:tcPr>
          <w:p>
            <w:r>
              <w:t>Goldman Sachs System</w:t>
            </w:r>
          </w:p>
        </w:tc>
        <w:tc>
          <w:tcPr>
            <w:tcW w:w="0" w:type="auto"/>
          </w:tcPr>
          <w:p w14:paraId="3A9B37D2" w14:textId="77777777" w:rsidR="00BD0EC0" w:rsidRDefault="00BD0EC0" w:rsidP="00A46DD2">
            <w:pPr>
              <w:pStyle w:val="TableHeading"/>
            </w:pPr>
            <w:r>
              <w:t>Domain</w:t>
            </w:r>
          </w:p>
        </w:tc>
        <w:tc>
          <w:tcPr>
            <w:tcW w:w="1564" w:type="dxa"/>
            <w:noWrap/>
          </w:tcPr>
          <w:p w14:paraId="6FB93F7D" w14:textId="77777777" w:rsidR="00BD0EC0" w:rsidRPr="00470C19" w:rsidRDefault="00BD0EC0" w:rsidP="00A46DD2">
            <w:pPr>
              <w:pStyle w:val="TableHeading"/>
            </w:pPr>
            <w:r>
              <w:t xml:space="preserve">Experience </w:t>
            </w:r>
            <w:r w:rsidRPr="00BE60D4">
              <w:t>Integrating</w:t>
            </w:r>
            <w:r>
              <w:t xml:space="preserve"> to </w:t>
            </w:r>
            <w:r w:rsidRPr="00BE60D4">
              <w:t>Specific</w:t>
            </w:r>
            <w:r>
              <w:t xml:space="preserve"> System</w:t>
            </w:r>
          </w:p>
        </w:tc>
        <w:tc>
          <w:tcPr>
            <w:tcW w:w="2263" w:type="dxa"/>
          </w:tcPr>
          <w:p w14:paraId="30C59433" w14:textId="77777777" w:rsidR="00BD0EC0" w:rsidRPr="00470C19" w:rsidRDefault="00BD0EC0" w:rsidP="00A46DD2">
            <w:pPr>
              <w:pStyle w:val="TableHeading"/>
            </w:pPr>
            <w:r>
              <w:t xml:space="preserve">Experience </w:t>
            </w:r>
            <w:r w:rsidRPr="00BE60D4">
              <w:t>Integrating</w:t>
            </w:r>
            <w:r>
              <w:t xml:space="preserve"> to </w:t>
            </w:r>
            <w:r w:rsidRPr="00BE60D4">
              <w:t>Other Systems</w:t>
            </w:r>
            <w:r>
              <w:t xml:space="preserve">, but </w:t>
            </w:r>
            <w:r w:rsidRPr="00BE60D4">
              <w:t>Same</w:t>
            </w:r>
            <w:r>
              <w:t xml:space="preserve"> Domain</w:t>
            </w:r>
          </w:p>
        </w:tc>
      </w:tr>
      <w:tr w:rsidR="00BD0EC0" w:rsidRPr="008E36AB" w14:paraId="2F4BC01C" w14:textId="77777777" w:rsidTr="00A46DD2">
        <w:trPr>
          <w:trHeight w:val="535"/>
        </w:trPr>
        <w:tc>
          <w:tcPr>
            <w:tcW w:w="0" w:type="auto"/>
            <w:noWrap/>
          </w:tcPr>
          <w:p w14:paraId="0EFF8058" w14:textId="77777777" w:rsidR="00BD0EC0" w:rsidRPr="00470C19" w:rsidRDefault="00BD0EC0" w:rsidP="00A46DD2">
            <w:pPr>
              <w:pStyle w:val="BodyText"/>
            </w:pPr>
            <w:r>
              <w:t>Ascender Pay</w:t>
            </w:r>
          </w:p>
        </w:tc>
        <w:tc>
          <w:tcPr>
            <w:tcW w:w="0" w:type="auto"/>
          </w:tcPr>
          <w:p w14:paraId="7AEB707B" w14:textId="77777777" w:rsidR="00BD0EC0" w:rsidRDefault="00BD0EC0" w:rsidP="00A46DD2">
            <w:pPr>
              <w:pStyle w:val="BodyText"/>
            </w:pPr>
            <w:r>
              <w:t>Payroll</w:t>
            </w:r>
          </w:p>
        </w:tc>
        <w:tc>
          <w:tcPr>
            <w:tcW w:w="1564" w:type="dxa"/>
            <w:noWrap/>
          </w:tcPr>
          <w:p w14:paraId="35470796" w14:textId="77777777" w:rsidR="00BD0EC0" w:rsidRPr="00470C19" w:rsidRDefault="00BD0EC0" w:rsidP="00A46DD2">
            <w:pPr>
              <w:pStyle w:val="BodyText"/>
            </w:pPr>
            <w:r>
              <w:t>Yes</w:t>
            </w:r>
          </w:p>
        </w:tc>
        <w:tc>
          <w:tcPr>
            <w:tcW w:w="2263" w:type="dxa"/>
          </w:tcPr>
          <w:p w14:paraId="00FAC45C" w14:textId="77777777" w:rsidR="00BD0EC0" w:rsidRPr="00470C19" w:rsidRDefault="00BD0EC0" w:rsidP="00A46DD2">
            <w:pPr>
              <w:pStyle w:val="BodyText"/>
            </w:pPr>
            <w:r>
              <w:t>Yes</w:t>
            </w:r>
          </w:p>
        </w:tc>
      </w:tr>
      <w:tr w:rsidR="00BD0EC0" w:rsidRPr="008E36AB" w14:paraId="02063702" w14:textId="77777777" w:rsidTr="00A46DD2">
        <w:trPr>
          <w:trHeight w:val="535"/>
        </w:trPr>
        <w:tc>
          <w:tcPr>
            <w:tcW w:w="0" w:type="auto"/>
            <w:noWrap/>
          </w:tcPr>
          <w:p w14:paraId="0815BEFA" w14:textId="77777777" w:rsidR="00BD0EC0" w:rsidRPr="00470C19" w:rsidRDefault="00BD0EC0" w:rsidP="00A46DD2">
            <w:pPr>
              <w:pStyle w:val="BodyText"/>
            </w:pPr>
            <w:r>
              <w:t>Totara Learn</w:t>
            </w:r>
          </w:p>
        </w:tc>
        <w:tc>
          <w:tcPr>
            <w:tcW w:w="0" w:type="auto"/>
          </w:tcPr>
          <w:p w14:paraId="454C42C4" w14:textId="77777777" w:rsidR="00BD0EC0" w:rsidRDefault="00BD0EC0" w:rsidP="00A46DD2">
            <w:pPr>
              <w:pStyle w:val="BodyText"/>
            </w:pPr>
            <w:r>
              <w:t>Learning</w:t>
            </w:r>
          </w:p>
        </w:tc>
        <w:tc>
          <w:tcPr>
            <w:tcW w:w="1564" w:type="dxa"/>
            <w:noWrap/>
          </w:tcPr>
          <w:p w14:paraId="19AA3568" w14:textId="77777777" w:rsidR="00BD0EC0" w:rsidRPr="00470C19" w:rsidRDefault="00BD0EC0" w:rsidP="00A46DD2">
            <w:pPr>
              <w:pStyle w:val="BodyText"/>
            </w:pPr>
            <w:r>
              <w:t>No</w:t>
            </w:r>
          </w:p>
        </w:tc>
        <w:tc>
          <w:tcPr>
            <w:tcW w:w="2263" w:type="dxa"/>
          </w:tcPr>
          <w:p w14:paraId="31CF8AA2" w14:textId="77777777" w:rsidR="00BD0EC0" w:rsidRPr="00470C19" w:rsidRDefault="00BD0EC0" w:rsidP="00A46DD2">
            <w:pPr>
              <w:pStyle w:val="BodyText"/>
            </w:pPr>
            <w:r>
              <w:t>Yes</w:t>
            </w:r>
          </w:p>
        </w:tc>
      </w:tr>
      <w:tr w:rsidR="00BD0EC0" w:rsidRPr="008E36AB" w14:paraId="3B8FE5E6" w14:textId="77777777" w:rsidTr="00A46DD2">
        <w:trPr>
          <w:trHeight w:val="535"/>
        </w:trPr>
        <w:tc>
          <w:tcPr>
            <w:tcW w:w="0" w:type="auto"/>
            <w:noWrap/>
          </w:tcPr>
          <w:p w14:paraId="4378E626" w14:textId="77777777" w:rsidR="00BD0EC0" w:rsidRPr="00470C19" w:rsidRDefault="00BD0EC0" w:rsidP="00A46DD2">
            <w:pPr>
              <w:pStyle w:val="BodyText"/>
            </w:pPr>
            <w:r>
              <w:t>Kronos Time &amp; Attendance</w:t>
            </w:r>
          </w:p>
        </w:tc>
        <w:tc>
          <w:tcPr>
            <w:tcW w:w="0" w:type="auto"/>
          </w:tcPr>
          <w:p w14:paraId="10220FE9" w14:textId="77777777" w:rsidR="00BD0EC0" w:rsidRDefault="00BD0EC0" w:rsidP="00A46DD2">
            <w:pPr>
              <w:pStyle w:val="BodyText"/>
            </w:pPr>
            <w:r>
              <w:t>Time Tracking</w:t>
            </w:r>
          </w:p>
        </w:tc>
        <w:tc>
          <w:tcPr>
            <w:tcW w:w="1564" w:type="dxa"/>
            <w:noWrap/>
          </w:tcPr>
          <w:p w14:paraId="05C9086F" w14:textId="77777777" w:rsidR="00BD0EC0" w:rsidRPr="00470C19" w:rsidRDefault="00BD0EC0" w:rsidP="00A46DD2">
            <w:pPr>
              <w:pStyle w:val="BodyText"/>
            </w:pPr>
            <w:r>
              <w:t>Yes</w:t>
            </w:r>
          </w:p>
        </w:tc>
        <w:tc>
          <w:tcPr>
            <w:tcW w:w="2263" w:type="dxa"/>
          </w:tcPr>
          <w:p w14:paraId="0C5532F0" w14:textId="77777777" w:rsidR="00BD0EC0" w:rsidRPr="00470C19" w:rsidRDefault="00BD0EC0" w:rsidP="00A46DD2">
            <w:pPr>
              <w:pStyle w:val="BodyText"/>
            </w:pPr>
            <w:r>
              <w:t>Yes</w:t>
            </w:r>
          </w:p>
        </w:tc>
      </w:tr>
      <w:tr w:rsidR="00BD0EC0" w:rsidRPr="008E36AB" w14:paraId="631CCADE" w14:textId="77777777" w:rsidTr="00A46DD2">
        <w:trPr>
          <w:trHeight w:val="535"/>
        </w:trPr>
        <w:tc>
          <w:tcPr>
            <w:tcW w:w="0" w:type="auto"/>
            <w:noWrap/>
          </w:tcPr>
          <w:p w14:paraId="1A7371B0" w14:textId="77777777" w:rsidR="00BD0EC0" w:rsidRPr="00470C19" w:rsidRDefault="00BD0EC0" w:rsidP="00A46DD2">
            <w:pPr>
              <w:pStyle w:val="BodyText"/>
            </w:pPr>
            <w:r>
              <w:t>Oracle ERP</w:t>
            </w:r>
          </w:p>
        </w:tc>
        <w:tc>
          <w:tcPr>
            <w:tcW w:w="0" w:type="auto"/>
          </w:tcPr>
          <w:p w14:paraId="59DD2B34" w14:textId="77777777" w:rsidR="00BD0EC0" w:rsidRDefault="00BD0EC0" w:rsidP="00A46DD2">
            <w:pPr>
              <w:pStyle w:val="BodyText"/>
            </w:pPr>
            <w:r>
              <w:t>Finance</w:t>
            </w:r>
          </w:p>
        </w:tc>
        <w:tc>
          <w:tcPr>
            <w:tcW w:w="1564" w:type="dxa"/>
            <w:noWrap/>
          </w:tcPr>
          <w:p w14:paraId="14CF418F" w14:textId="77777777" w:rsidR="00BD0EC0" w:rsidRPr="00470C19" w:rsidRDefault="00BD0EC0" w:rsidP="00A46DD2">
            <w:pPr>
              <w:pStyle w:val="BodyText"/>
            </w:pPr>
            <w:r>
              <w:t>Yes</w:t>
            </w:r>
          </w:p>
        </w:tc>
        <w:tc>
          <w:tcPr>
            <w:tcW w:w="2263" w:type="dxa"/>
          </w:tcPr>
          <w:p w14:paraId="6E12D25A" w14:textId="77777777" w:rsidR="00BD0EC0" w:rsidRPr="00470C19" w:rsidRDefault="00BD0EC0" w:rsidP="00A46DD2">
            <w:pPr>
              <w:pStyle w:val="BodyText"/>
            </w:pPr>
            <w:r>
              <w:t>Yes</w:t>
            </w:r>
          </w:p>
        </w:tc>
      </w:tr>
      <w:tr w:rsidR="00BD0EC0" w:rsidRPr="008E36AB" w14:paraId="5490D9FA" w14:textId="77777777" w:rsidTr="00A46DD2">
        <w:trPr>
          <w:trHeight w:val="535"/>
        </w:trPr>
        <w:tc>
          <w:tcPr>
            <w:tcW w:w="0" w:type="auto"/>
            <w:noWrap/>
          </w:tcPr>
          <w:p w14:paraId="629F905F" w14:textId="77777777" w:rsidR="00BD0EC0" w:rsidRPr="00470C19" w:rsidRDefault="00BD0EC0" w:rsidP="00A46DD2">
            <w:pPr>
              <w:pStyle w:val="BodyText"/>
            </w:pPr>
            <w:r>
              <w:t>Patient Administration System</w:t>
            </w:r>
          </w:p>
        </w:tc>
        <w:tc>
          <w:tcPr>
            <w:tcW w:w="0" w:type="auto"/>
          </w:tcPr>
          <w:p w14:paraId="1E7271AB" w14:textId="77777777" w:rsidR="00BD0EC0" w:rsidRDefault="00BD0EC0" w:rsidP="00A46DD2">
            <w:pPr>
              <w:pStyle w:val="BodyText"/>
            </w:pPr>
            <w:r>
              <w:t>Care</w:t>
            </w:r>
          </w:p>
        </w:tc>
        <w:tc>
          <w:tcPr>
            <w:tcW w:w="1564" w:type="dxa"/>
            <w:noWrap/>
          </w:tcPr>
          <w:p w14:paraId="277F68D7" w14:textId="77777777" w:rsidR="00BD0EC0" w:rsidRPr="00470C19" w:rsidRDefault="00BD0EC0" w:rsidP="00A46DD2">
            <w:pPr>
              <w:pStyle w:val="BodyText"/>
            </w:pPr>
            <w:r>
              <w:t>No</w:t>
            </w:r>
          </w:p>
        </w:tc>
        <w:tc>
          <w:tcPr>
            <w:tcW w:w="2263" w:type="dxa"/>
          </w:tcPr>
          <w:p w14:paraId="5DE5D107" w14:textId="77777777" w:rsidR="00BD0EC0" w:rsidRPr="00470C19" w:rsidRDefault="00BD0EC0" w:rsidP="00A46DD2">
            <w:pPr>
              <w:pStyle w:val="BodyText"/>
            </w:pPr>
            <w:r>
              <w:t>Yes</w:t>
            </w:r>
          </w:p>
        </w:tc>
      </w:tr>
      <w:tr w:rsidR="00BD0EC0" w:rsidRPr="008E36AB" w14:paraId="746E9E7F" w14:textId="77777777" w:rsidTr="00A46DD2">
        <w:trPr>
          <w:trHeight w:val="535"/>
        </w:trPr>
        <w:tc>
          <w:tcPr>
            <w:tcW w:w="0" w:type="auto"/>
            <w:noWrap/>
          </w:tcPr>
          <w:p w14:paraId="54071CE4" w14:textId="77777777" w:rsidR="00BD0EC0" w:rsidRPr="00470C19" w:rsidRDefault="00BD0EC0" w:rsidP="00A46DD2">
            <w:pPr>
              <w:pStyle w:val="BodyText"/>
            </w:pPr>
            <w:r>
              <w:t>Data Warehouse Solution</w:t>
            </w:r>
          </w:p>
        </w:tc>
        <w:tc>
          <w:tcPr>
            <w:tcW w:w="0" w:type="auto"/>
          </w:tcPr>
          <w:p w14:paraId="2FEC4533" w14:textId="77777777" w:rsidR="00BD0EC0" w:rsidRDefault="00BD0EC0" w:rsidP="00A46DD2">
            <w:pPr>
              <w:pStyle w:val="BodyText"/>
            </w:pPr>
            <w:r>
              <w:t>Analytics</w:t>
            </w:r>
          </w:p>
        </w:tc>
        <w:tc>
          <w:tcPr>
            <w:tcW w:w="1564" w:type="dxa"/>
            <w:noWrap/>
          </w:tcPr>
          <w:p w14:paraId="16277E5C" w14:textId="77777777" w:rsidR="00BD0EC0" w:rsidRPr="00470C19" w:rsidRDefault="00BD0EC0" w:rsidP="00A46DD2">
            <w:pPr>
              <w:pStyle w:val="BodyText"/>
            </w:pPr>
            <w:r>
              <w:t>Yes</w:t>
            </w:r>
          </w:p>
        </w:tc>
        <w:tc>
          <w:tcPr>
            <w:tcW w:w="2263" w:type="dxa"/>
          </w:tcPr>
          <w:p w14:paraId="0427582E" w14:textId="77777777" w:rsidR="00BD0EC0" w:rsidRPr="00470C19" w:rsidRDefault="00BD0EC0" w:rsidP="00A46DD2">
            <w:pPr>
              <w:pStyle w:val="BodyText"/>
            </w:pPr>
            <w:r>
              <w:t>Yes</w:t>
            </w:r>
          </w:p>
        </w:tc>
      </w:tr>
      <w:tr w:rsidR="00BD0EC0" w:rsidRPr="008E36AB" w14:paraId="11D2ECC7" w14:textId="77777777" w:rsidTr="00A46DD2">
        <w:trPr>
          <w:trHeight w:val="535"/>
        </w:trPr>
        <w:tc>
          <w:tcPr>
            <w:tcW w:w="0" w:type="auto"/>
            <w:noWrap/>
          </w:tcPr>
          <w:p w14:paraId="52C35A68" w14:textId="77777777" w:rsidR="00BD0EC0" w:rsidRPr="00470C19" w:rsidRDefault="00BD0EC0" w:rsidP="00A46DD2">
            <w:pPr>
              <w:pStyle w:val="BodyText"/>
            </w:pPr>
            <w:r>
              <w:t>Identity Management and Active Directory</w:t>
            </w:r>
          </w:p>
        </w:tc>
        <w:tc>
          <w:tcPr>
            <w:tcW w:w="0" w:type="auto"/>
          </w:tcPr>
          <w:p w14:paraId="2B7033C1" w14:textId="77777777" w:rsidR="00BD0EC0" w:rsidRDefault="00BD0EC0" w:rsidP="00A46DD2">
            <w:pPr>
              <w:pStyle w:val="BodyText"/>
            </w:pPr>
            <w:r>
              <w:t>Identity Management</w:t>
            </w:r>
          </w:p>
        </w:tc>
        <w:tc>
          <w:tcPr>
            <w:tcW w:w="1564" w:type="dxa"/>
            <w:noWrap/>
          </w:tcPr>
          <w:p w14:paraId="0A7E4324" w14:textId="77777777" w:rsidR="00BD0EC0" w:rsidRPr="00470C19" w:rsidRDefault="00BD0EC0" w:rsidP="00A46DD2">
            <w:pPr>
              <w:pStyle w:val="BodyText"/>
            </w:pPr>
            <w:r>
              <w:t>Yes</w:t>
            </w:r>
          </w:p>
        </w:tc>
        <w:tc>
          <w:tcPr>
            <w:tcW w:w="2263" w:type="dxa"/>
          </w:tcPr>
          <w:p w14:paraId="28E26F42" w14:textId="77777777" w:rsidR="00BD0EC0" w:rsidRPr="00470C19" w:rsidRDefault="00BD0EC0" w:rsidP="00A46DD2">
            <w:pPr>
              <w:pStyle w:val="BodyText"/>
            </w:pPr>
            <w:r>
              <w:t>Yes</w:t>
            </w:r>
          </w:p>
        </w:tc>
      </w:tr>
    </w:tbl>
    <w:p w14:paraId="121C740D" w14:textId="77777777" w:rsidR="00302D92" w:rsidRDefault="00302D92"/>
    <w:sectPr w:rsidR="00302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C8FF4" w14:textId="77777777" w:rsidR="00061383" w:rsidRDefault="00061383" w:rsidP="00BD0EC0">
      <w:pPr>
        <w:spacing w:before="0" w:after="0" w:line="240" w:lineRule="auto"/>
      </w:pPr>
      <w:r>
        <w:separator/>
      </w:r>
    </w:p>
  </w:endnote>
  <w:endnote w:type="continuationSeparator" w:id="0">
    <w:p w14:paraId="0E09F06A" w14:textId="77777777" w:rsidR="00061383" w:rsidRDefault="00061383" w:rsidP="00BD0EC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C17B3" w14:textId="77777777" w:rsidR="008E0D24" w:rsidRDefault="008E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755842F6" w14:textId="77777777" w:rsidR="008E0D24" w:rsidRPr="00F07030" w:rsidRDefault="008E0D24" w:rsidP="008E0D2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560DDD43" w14:textId="77777777" w:rsidR="008E0D24" w:rsidRPr="006847BC" w:rsidRDefault="008E0D24" w:rsidP="008E0D24">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CEE43F4" w14:textId="77777777" w:rsidR="008E0D24" w:rsidRPr="003D480E" w:rsidRDefault="008E0D24" w:rsidP="008E0D24">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57BA9F23" w14:textId="77777777" w:rsidR="008E0D24" w:rsidRDefault="008E0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5853" w14:textId="77777777" w:rsidR="008E0D24" w:rsidRDefault="008E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AB177" w14:textId="77777777" w:rsidR="00061383" w:rsidRDefault="00061383" w:rsidP="00BD0EC0">
      <w:pPr>
        <w:spacing w:before="0" w:after="0" w:line="240" w:lineRule="auto"/>
      </w:pPr>
      <w:r>
        <w:separator/>
      </w:r>
    </w:p>
  </w:footnote>
  <w:footnote w:type="continuationSeparator" w:id="0">
    <w:p w14:paraId="3A5DA98F" w14:textId="77777777" w:rsidR="00061383" w:rsidRDefault="00061383" w:rsidP="00BD0EC0">
      <w:pPr>
        <w:spacing w:before="0" w:after="0" w:line="240" w:lineRule="auto"/>
      </w:pPr>
      <w:r>
        <w:continuationSeparator/>
      </w:r>
    </w:p>
  </w:footnote>
  <w:footnote w:id="1">
    <w:p w14:paraId="32EC51ED" w14:textId="77777777" w:rsidR="00BD0EC0" w:rsidRDefault="00BD0EC0" w:rsidP="00BD0EC0">
      <w:pPr>
        <w:pStyle w:val="FootnoteText"/>
      </w:pPr>
      <w:r>
        <w:rPr>
          <w:rStyle w:val="FootnoteReference"/>
        </w:rPr>
        <w:footnoteRef/>
      </w:r>
      <w:r>
        <w:t xml:space="preserve"> KPMG would like to welcome the opportunity in discussing Option #2 with SJGHC to understand your strategy more broadly and how KPMG can support SJGHC in achieving those business goals. Our pricing reflects Option #1.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1309" w14:textId="77777777" w:rsidR="008E0D24" w:rsidRDefault="008E0D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5686E" w14:textId="77777777" w:rsidR="002C10AC" w:rsidRPr="004B5263" w:rsidRDefault="002C10AC" w:rsidP="002C10AC">
    <w:r w:rsidRPr="009D1A5D">
      <w:rPr>
        <w:noProof/>
      </w:rPr>
      <w:drawing>
        <wp:anchor distT="0" distB="0" distL="114300" distR="114300" simplePos="0" relativeHeight="251659264" behindDoc="0" locked="1" layoutInCell="1" allowOverlap="0" wp14:anchorId="0C73FB7C" wp14:editId="58838E6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2A8DA58D" w14:textId="77777777" w:rsidR="008E0D24" w:rsidRPr="002C10AC" w:rsidRDefault="008E0D24" w:rsidP="002C10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D1203" w14:textId="77777777" w:rsidR="008E0D24" w:rsidRDefault="008E0D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66459812">
    <w:abstractNumId w:val="0"/>
  </w:num>
  <w:num w:numId="2" w16cid:durableId="232159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81"/>
    <w:rsid w:val="00061383"/>
    <w:rsid w:val="002620B1"/>
    <w:rsid w:val="002C10AC"/>
    <w:rsid w:val="00302D92"/>
    <w:rsid w:val="003269E6"/>
    <w:rsid w:val="008E0D24"/>
    <w:rsid w:val="009B6081"/>
    <w:rsid w:val="00BD0EC0"/>
    <w:rsid w:val="00CD521A"/>
    <w:rsid w:val="00EE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4660E5-C719-4C6C-853E-F34486202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D0EC0"/>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BD0EC0"/>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BD0EC0"/>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BD0EC0"/>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BD0EC0"/>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D0EC0"/>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BD0EC0"/>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BD0EC0"/>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BD0EC0"/>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BD0EC0"/>
    <w:rPr>
      <w:szCs w:val="20"/>
    </w:rPr>
  </w:style>
  <w:style w:type="character" w:customStyle="1" w:styleId="BodyTextChar">
    <w:name w:val="Body Text Char"/>
    <w:basedOn w:val="DefaultParagraphFont"/>
    <w:link w:val="BodyText"/>
    <w:uiPriority w:val="1"/>
    <w:rsid w:val="00BD0EC0"/>
    <w:rPr>
      <w:rFonts w:ascii="Arial" w:hAnsi="Arial"/>
      <w:szCs w:val="20"/>
      <w:lang w:val="en-GB"/>
    </w:rPr>
  </w:style>
  <w:style w:type="character" w:styleId="FootnoteReference">
    <w:name w:val="footnote reference"/>
    <w:basedOn w:val="BodyTextChar"/>
    <w:uiPriority w:val="14"/>
    <w:semiHidden/>
    <w:rsid w:val="00BD0EC0"/>
    <w:rPr>
      <w:rFonts w:ascii="Arial" w:hAnsi="Arial"/>
      <w:bCs/>
      <w:vanish/>
      <w:sz w:val="22"/>
      <w:szCs w:val="22"/>
      <w:vertAlign w:val="superscript"/>
      <w:lang w:val="en-GB"/>
    </w:rPr>
  </w:style>
  <w:style w:type="paragraph" w:styleId="FootnoteText">
    <w:name w:val="footnote text"/>
    <w:basedOn w:val="BodyText"/>
    <w:link w:val="FootnoteTextChar"/>
    <w:uiPriority w:val="14"/>
    <w:rsid w:val="00BD0EC0"/>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BD0EC0"/>
    <w:rPr>
      <w:rFonts w:ascii="Arial" w:hAnsi="Arial"/>
      <w:sz w:val="16"/>
      <w:lang w:val="en-GB"/>
    </w:rPr>
  </w:style>
  <w:style w:type="paragraph" w:styleId="ListBullet">
    <w:name w:val="List Bullet"/>
    <w:basedOn w:val="ListParagraph"/>
    <w:uiPriority w:val="6"/>
    <w:qFormat/>
    <w:rsid w:val="00BD0EC0"/>
    <w:pPr>
      <w:numPr>
        <w:numId w:val="1"/>
      </w:numPr>
      <w:ind w:left="357" w:hanging="357"/>
      <w:contextualSpacing w:val="0"/>
    </w:pPr>
    <w:rPr>
      <w:szCs w:val="20"/>
    </w:rPr>
  </w:style>
  <w:style w:type="paragraph" w:styleId="ListBullet2">
    <w:name w:val="List Bullet 2"/>
    <w:basedOn w:val="BodyText"/>
    <w:uiPriority w:val="6"/>
    <w:qFormat/>
    <w:rsid w:val="00BD0EC0"/>
    <w:pPr>
      <w:numPr>
        <w:ilvl w:val="1"/>
        <w:numId w:val="1"/>
      </w:numPr>
      <w:ind w:left="714" w:hanging="357"/>
      <w:contextualSpacing/>
    </w:pPr>
  </w:style>
  <w:style w:type="paragraph" w:styleId="ListBullet3">
    <w:name w:val="List Bullet 3"/>
    <w:basedOn w:val="BodyText"/>
    <w:uiPriority w:val="6"/>
    <w:qFormat/>
    <w:rsid w:val="00BD0EC0"/>
    <w:pPr>
      <w:numPr>
        <w:ilvl w:val="2"/>
        <w:numId w:val="1"/>
      </w:numPr>
      <w:ind w:left="1077" w:hanging="357"/>
      <w:contextualSpacing/>
    </w:pPr>
  </w:style>
  <w:style w:type="paragraph" w:styleId="ListBullet4">
    <w:name w:val="List Bullet 4"/>
    <w:basedOn w:val="BodyText"/>
    <w:uiPriority w:val="6"/>
    <w:rsid w:val="00BD0EC0"/>
    <w:pPr>
      <w:numPr>
        <w:ilvl w:val="3"/>
        <w:numId w:val="1"/>
      </w:numPr>
    </w:pPr>
  </w:style>
  <w:style w:type="paragraph" w:styleId="ListBullet5">
    <w:name w:val="List Bullet 5"/>
    <w:basedOn w:val="BodyText"/>
    <w:uiPriority w:val="6"/>
    <w:rsid w:val="00BD0EC0"/>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BD0EC0"/>
    <w:pPr>
      <w:spacing w:before="40" w:after="40"/>
    </w:pPr>
    <w:rPr>
      <w:b/>
      <w:iCs/>
      <w:color w:val="00338D"/>
      <w:sz w:val="18"/>
      <w:szCs w:val="18"/>
    </w:rPr>
  </w:style>
  <w:style w:type="character" w:styleId="Emphasis">
    <w:name w:val="Emphasis"/>
    <w:basedOn w:val="BodyTextChar"/>
    <w:uiPriority w:val="2"/>
    <w:qFormat/>
    <w:rsid w:val="00BD0EC0"/>
    <w:rPr>
      <w:rFonts w:ascii="Arial" w:hAnsi="Arial"/>
      <w:b/>
      <w:iCs/>
      <w:sz w:val="22"/>
      <w:szCs w:val="20"/>
      <w:lang w:val="en-GB"/>
    </w:rPr>
  </w:style>
  <w:style w:type="table" w:customStyle="1" w:styleId="KPMGTable2">
    <w:name w:val="KPMG Table 2"/>
    <w:basedOn w:val="TableNormal"/>
    <w:uiPriority w:val="99"/>
    <w:rsid w:val="00BD0EC0"/>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BD0EC0"/>
    <w:pPr>
      <w:numPr>
        <w:ilvl w:val="5"/>
        <w:numId w:val="1"/>
      </w:numPr>
      <w:contextualSpacing/>
    </w:pPr>
  </w:style>
  <w:style w:type="paragraph" w:customStyle="1" w:styleId="ListBullet7">
    <w:name w:val="List Bullet 7"/>
    <w:basedOn w:val="Normal"/>
    <w:uiPriority w:val="6"/>
    <w:rsid w:val="00BD0EC0"/>
    <w:pPr>
      <w:numPr>
        <w:ilvl w:val="6"/>
        <w:numId w:val="1"/>
      </w:numPr>
    </w:pPr>
  </w:style>
  <w:style w:type="paragraph" w:customStyle="1" w:styleId="ListBullet8">
    <w:name w:val="List Bullet 8"/>
    <w:basedOn w:val="BodyText"/>
    <w:uiPriority w:val="6"/>
    <w:rsid w:val="00BD0EC0"/>
    <w:pPr>
      <w:numPr>
        <w:ilvl w:val="7"/>
        <w:numId w:val="1"/>
      </w:numPr>
    </w:pPr>
    <w:rPr>
      <w:rFonts w:cs="Arial"/>
    </w:rPr>
  </w:style>
  <w:style w:type="paragraph" w:customStyle="1" w:styleId="ListBullet9">
    <w:name w:val="List Bullet 9"/>
    <w:basedOn w:val="BodyText"/>
    <w:uiPriority w:val="6"/>
    <w:rsid w:val="00BD0EC0"/>
    <w:pPr>
      <w:numPr>
        <w:ilvl w:val="8"/>
        <w:numId w:val="1"/>
      </w:numPr>
    </w:pPr>
    <w:rPr>
      <w:rFonts w:cs="Arial"/>
    </w:rPr>
  </w:style>
  <w:style w:type="numbering" w:customStyle="1" w:styleId="KPMGBulletList">
    <w:name w:val="KPMG Bullet List"/>
    <w:basedOn w:val="NoList"/>
    <w:uiPriority w:val="99"/>
    <w:rsid w:val="00BD0EC0"/>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BD0EC0"/>
    <w:rPr>
      <w:rFonts w:ascii="Arial" w:hAnsi="Arial"/>
      <w:b/>
      <w:iCs/>
      <w:color w:val="00338D"/>
      <w:sz w:val="18"/>
      <w:szCs w:val="18"/>
      <w:lang w:val="en-GB"/>
    </w:rPr>
  </w:style>
  <w:style w:type="paragraph" w:customStyle="1" w:styleId="TableHeading">
    <w:name w:val="Table Heading"/>
    <w:basedOn w:val="BodyText"/>
    <w:uiPriority w:val="17"/>
    <w:rsid w:val="00BD0EC0"/>
    <w:pPr>
      <w:spacing w:before="40" w:after="40"/>
    </w:pPr>
    <w:rPr>
      <w:b/>
      <w:color w:val="FFFFFF" w:themeColor="background1"/>
    </w:rPr>
  </w:style>
  <w:style w:type="paragraph" w:styleId="ListParagraph">
    <w:name w:val="List Paragraph"/>
    <w:basedOn w:val="Normal"/>
    <w:uiPriority w:val="34"/>
    <w:qFormat/>
    <w:rsid w:val="00BD0EC0"/>
    <w:pPr>
      <w:ind w:left="720"/>
      <w:contextualSpacing/>
    </w:pPr>
  </w:style>
  <w:style w:type="paragraph" w:styleId="BlockText">
    <w:name w:val="Block Text"/>
    <w:basedOn w:val="Normal"/>
    <w:uiPriority w:val="99"/>
    <w:semiHidden/>
    <w:unhideWhenUsed/>
    <w:rsid w:val="00BD0EC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8E0D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E0D24"/>
    <w:rPr>
      <w:rFonts w:ascii="Arial" w:hAnsi="Arial"/>
      <w:lang w:val="en-GB"/>
    </w:rPr>
  </w:style>
  <w:style w:type="paragraph" w:styleId="Footer">
    <w:name w:val="footer"/>
    <w:basedOn w:val="Normal"/>
    <w:link w:val="FooterChar"/>
    <w:uiPriority w:val="11"/>
    <w:unhideWhenUsed/>
    <w:rsid w:val="008E0D2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8E0D24"/>
    <w:rPr>
      <w:rFonts w:ascii="Arial" w:hAnsi="Arial"/>
      <w:lang w:val="en-GB"/>
    </w:rPr>
  </w:style>
  <w:style w:type="paragraph" w:customStyle="1" w:styleId="Footer1">
    <w:name w:val="Footer 1"/>
    <w:basedOn w:val="Footer"/>
    <w:uiPriority w:val="11"/>
    <w:rsid w:val="008E0D24"/>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1851</Words>
  <Characters>10552</Characters>
  <Application>Microsoft Office Word</Application>
  <DocSecurity>0</DocSecurity>
  <Lines>87</Lines>
  <Paragraphs>24</Paragraphs>
  <ScaleCrop>false</ScaleCrop>
  <Company>KPMG</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5</cp:revision>
  <dcterms:created xsi:type="dcterms:W3CDTF">2022-12-15T13:16:00Z</dcterms:created>
  <dcterms:modified xsi:type="dcterms:W3CDTF">2023-04-06T14:51:00Z</dcterms:modified>
</cp:coreProperties>
</file>