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JPMC_Dev_Test_Local_001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JPMC_Dev_Test_Local_001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JPMC_Dev_Test_Local_001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JPMC_Dev_Test_Local_001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JPMC_Dev_Test_Local_001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JPMC_Dev_Test_Local_001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JPMC_Dev_Test_Local_001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JPMC_Dev_Test_Local_001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JPMC_Dev_Test_Local_001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JPMC_Dev_Test_Local_001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JPMC_Dev_Test_Local_001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JPMC_Dev_Test_Local_001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JPMC_Dev_Test_Local_001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JPMC_Dev_Test_Local_001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JPMC_Dev_Test_Local_001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JPMC_Dev_Test_Local_001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JPMC_Dev_Test_Local_001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JPMC_Dev_Test_Local_001</w:t>
      </w:r>
      <w:r w:rsidRPr="005F4D6B">
        <w:t>'s decision</w:t>
      </w:r>
      <w:r>
        <w:t xml:space="preserve"> </w:t>
      </w:r>
      <w:r w:rsidRPr="005F4D6B">
        <w:t xml:space="preserve">making timelines and resource capacity to adopt the Workday solution. We believe that our approach will help </w:t>
      </w:r>
      <w:r w:rsidR="00840C38">
        <w:t>JPMC_Dev_Test_Local_001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JPMC_Dev_Test_Local_001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JPMC_Dev_Test_Local_001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JPMC_Dev_Test_Local_001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JPMC_Dev_Test_Local_001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JPMC_Dev_Test_Local_001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JPMC_Dev_Test_Local_001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JPMC_Dev_Test_Local_001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JPMC_Dev_Test_Local_001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JPMC_Dev_Test_Local_001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JPMC_Dev_Test_Local_001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30,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30,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30,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30,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30,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30,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30,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30,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30,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30,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30,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30,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30,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30,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30,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