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KPMG_Test_Server_001</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KPMG_Test_Server_001</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KPMG_Test_Server_001</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KPMG_Test_Server_001</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KPMG_Test_Server_001</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KPMG_Test_Server_001</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KPMG_Test_Server_001</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KPMG_Test_Server_001</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