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KPMG_Test_Server_dev_local_005</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KPMG_Test_Server_dev_local_005</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KPMG_Test_Server_dev_local_005</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KPMG_Test_Server_dev_local_005</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KPMG_Test_Server_dev_local_005</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KPMG_Test_Server_dev_local_005</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KPMG_Test_Server_dev_local_005</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KPMG_Test_Server_dev_local_005</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KPMG_Test_Server_dev_local_005</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