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/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/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KPMG_New_company_002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KPMG_New_company_002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