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Testing_thread_004's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Testing_thread_004,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Testing_thread_004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Testing_thread_004,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Testing_thread_004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Testing_thread_004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Testing_thread_004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Testing_thread_004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Testing_thread_004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Testing_thread_004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Testing_thread_004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Testing_thread_004 HRIS Project. The diagram below depicts the integration architecture that we have considered for Testing_thread_004 and incorporates two phases per the deployment approach proposed.</w:t>
      </w:r>
    </w:p>
    <w:p w14:paraId="3E7A3093" w14:textId="5B626262" w:rsidR="00BD0EC0" w:rsidRDefault="00BD0EC0" w:rsidP="00BD0EC0">
      <w:pPr>
        <w:pStyle w:val="BodyText"/>
      </w:pPr>
      <w:r>
        <w:t>As suggested by Testing_thread_004,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Testing_thread_004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Testing_thread_004 key systems.</w:t>
      </w:r>
    </w:p>
    <w:p w14:paraId="74047A83" w14:textId="1F87030F" w:rsidR="00BD0EC0" w:rsidRDefault="00BD0EC0" w:rsidP="00BD0EC0">
      <w:pPr>
        <w:pStyle w:val="Caption"/>
        <w:keepNext/>
      </w:pPr>
      <w:r>
        <w:t>Table 7: KPMG's Integration Experience with Testing_thread_004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Testing_thread_004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