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qwertyhgfds</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qwertyhgfds</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qwertyhgfds</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qwertyhgfds</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qwertyhgfds</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qwertyhgfds</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qwertyhgfds</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qwertyhgfds</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qwertyhgfds</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qwertyhgfds</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qwertyhgfds</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qwertyhgfds</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qwertyhgfds</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qwertyhgfds</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qwertyhgfds</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qwertyhgfds</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qwertyhgfds</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qwertyhgfds</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qwertyhgfds</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qwertyhgfds</w:t>
      </w:r>
      <w:r w:rsidRPr="00686132">
        <w:t>, bringing the best team to bear and the commercial investment we are willing to make</w:t>
      </w:r>
      <w:r>
        <w:t xml:space="preserve">. We are fully committed to </w:t>
      </w:r>
      <w:r w:rsidRPr="00686132">
        <w:t xml:space="preserve">work in partnership with </w:t>
      </w:r>
      <w:r w:rsidR="00995C64">
        <w:t>qwertyhgfds</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qwertyhgfds</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qwertyhgfds</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qwertyhgfds</w:t>
      </w:r>
      <w:r>
        <w:t xml:space="preserve"> partnering with KPMG for joint marketing activities in relation to </w:t>
      </w:r>
      <w:r w:rsidR="00995C64">
        <w:t>qwertyhgfds</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qwertyhgfds</w:t>
      </w:r>
      <w:r w:rsidRPr="00C638C7">
        <w:t xml:space="preserve"> will be invaluable during the process harmonisation activities to achieve a unified design for Group Workforce</w:t>
      </w:r>
      <w:r>
        <w:t xml:space="preserve">. Based on our depth of knowledge of </w:t>
      </w:r>
      <w:r w:rsidR="00995C64">
        <w:t>qwertyhgfds</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qwertyhgfds</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qwertyhgfds</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qwertyhgfds</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qwertyhgfds</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qwertyhgfds</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