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KPMG_New_company_003</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KPMG_New_company_003</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KPMG_New_company_003</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KPMG_New_company_003</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4" w:name="_Toc84240234"/>
      <w:bookmarkStart w:id="5" w:name="_Toc84342166"/>
      <w:bookmarkStart w:id="6" w:name="_Toc84438163"/>
      <w:bookmarkStart w:id="7" w:name="_Toc84438334"/>
      <w:bookmarkStart w:id="8" w:name="_Toc84438578"/>
      <w:bookmarkStart w:id="9" w:name="_Toc84576217"/>
      <w:bookmarkStart w:id="10" w:name="_Toc84834129"/>
      <w:bookmarkStart w:id="11" w:name="_Ref85019510"/>
      <w:bookmarkStart w:id="12" w:name="_Ref85019514"/>
      <w:r w:rsidRPr="00E10B67">
        <w:rPr>
          <w:rFonts w:ascii="Arial" w:hAnsi="Arial"/>
          <w:b/>
          <w:color w:val="00338D"/>
          <w:sz w:val="32"/>
          <w:szCs w:val="26"/>
          <w:lang w:val="en-GB" w:eastAsia="en-US" w:bidi="ar-SA"/>
        </w:rPr>
        <w:t>Implementation Approach</w:t>
      </w:r>
      <w:bookmarkEnd w:id="4"/>
      <w:bookmarkEnd w:id="5"/>
      <w:bookmarkEnd w:id="6"/>
      <w:bookmarkEnd w:id="7"/>
      <w:bookmarkEnd w:id="8"/>
      <w:bookmarkEnd w:id="9"/>
      <w:bookmarkEnd w:id="10"/>
      <w:bookmarkEnd w:id="11"/>
      <w:bookmarkEnd w:id="12"/>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KPMG_New_company_003</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KPMG_New_company_003</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3" w:name="_Toc84576232"/>
      <w:bookmarkStart w:id="14"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3"/>
      <w:bookmarkEnd w:id="14"/>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5" w:name="_Ref84422703"/>
      <w:bookmarkStart w:id="16" w:name="_Toc84342177"/>
      <w:bookmarkStart w:id="17" w:name="_Toc84576233"/>
      <w:bookmarkStart w:id="18"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5"/>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6"/>
      <w:r>
        <w:rPr>
          <w:rFonts w:ascii="Arial" w:eastAsia="Calibri" w:hAnsi="Arial"/>
          <w:b/>
          <w:iCs/>
          <w:color w:val="00338D"/>
          <w:sz w:val="18"/>
          <w:szCs w:val="18"/>
          <w:lang w:val="en-GB" w:eastAsia="en-US" w:bidi="ar-SA"/>
        </w:rPr>
        <w:t xml:space="preserve"> TOM Assets.</w:t>
      </w:r>
      <w:bookmarkEnd w:id="17"/>
      <w:bookmarkEnd w:id="18"/>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19" w:name="_Ref84422819"/>
      <w:bookmarkStart w:id="20" w:name="_Toc84342178"/>
      <w:bookmarkStart w:id="21" w:name="_Toc84576234"/>
      <w:bookmarkStart w:id="22"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19"/>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0"/>
      <w:r>
        <w:rPr>
          <w:rFonts w:ascii="Arial" w:eastAsia="Calibri" w:hAnsi="Arial"/>
          <w:b/>
          <w:iCs/>
          <w:color w:val="00338D"/>
          <w:sz w:val="18"/>
          <w:szCs w:val="18"/>
          <w:lang w:val="en-GB" w:eastAsia="en-US" w:bidi="ar-SA"/>
        </w:rPr>
        <w:t>.</w:t>
      </w:r>
      <w:bookmarkEnd w:id="21"/>
      <w:bookmarkEnd w:id="22"/>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KPMG_New_company_003</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3" w:name="_Toc84576236"/>
      <w:bookmarkStart w:id="24"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3"/>
      <w:bookmarkEnd w:id="24"/>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5"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6" w:name="_Ref84954546"/>
      <w:r>
        <w:rPr>
          <w:rFonts w:ascii="Arial" w:hAnsi="Arial"/>
          <w:b/>
          <w:color w:val="00338D"/>
          <w:sz w:val="28"/>
          <w:lang w:val="en-GB" w:eastAsia="en-US" w:bidi="ar-SA"/>
        </w:rPr>
        <w:t>Implementation Timeline</w:t>
      </w:r>
      <w:bookmarkEnd w:id="25"/>
      <w:bookmarkEnd w:id="26"/>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KPMG_New_company_003</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18"/>
          <w:footerReference w:type="default" r:id="rId1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sidR="00E22056" w:rsidP="00E22056" w14:paraId="240B001E" w14:textId="77777777">
      <w:pPr>
        <w:spacing w:before="40" w:after="40" w:line="260" w:lineRule="atLeast"/>
        <w:jc w:val="center"/>
        <w:rPr>
          <w:rFonts w:ascii="Arial" w:eastAsia="Calibri" w:hAnsi="Arial"/>
          <w:b/>
          <w:iCs/>
          <w:color w:val="00338D"/>
          <w:sz w:val="18"/>
          <w:szCs w:val="18"/>
          <w:lang w:val="en-GB" w:eastAsia="en-US" w:bidi="ar-SA"/>
        </w:rPr>
      </w:pPr>
      <w:bookmarkStart w:id="27" w:name="_Toc84342184"/>
      <w:bookmarkStart w:id="28" w:name="_Toc84576237"/>
      <w:bookmarkStart w:id="29" w:name="_Toc84834149"/>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11</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Proposed Timelin</w:t>
      </w:r>
      <w:bookmarkEnd w:id="27"/>
      <w:r>
        <w:rPr>
          <w:rFonts w:ascii="Arial" w:eastAsia="Calibri" w:hAnsi="Arial"/>
          <w:b/>
          <w:iCs/>
          <w:color w:val="00338D"/>
          <w:sz w:val="18"/>
          <w:szCs w:val="18"/>
          <w:lang w:val="en-GB" w:eastAsia="en-US" w:bidi="ar-SA"/>
        </w:rPr>
        <w:t>e.</w:t>
      </w:r>
      <w:bookmarkEnd w:id="28"/>
      <w:bookmarkEnd w:id="29"/>
    </w:p>
    <w:p w:rsidR="00E22056" w:rsidRPr="00F94C95" w:rsidP="00E22056" w14:paraId="55104CAC" w14:textId="77777777">
      <w:pPr>
        <w:spacing w:before="180" w:after="120" w:line="260" w:lineRule="atLeast"/>
        <w:rPr>
          <w:rFonts w:ascii="Arial" w:eastAsia="Calibri" w:hAnsi="Arial"/>
          <w:sz w:val="22"/>
          <w:szCs w:val="20"/>
          <w:lang w:val="en-GB" w:eastAsia="en-US" w:bidi="ar-SA"/>
        </w:rPr>
      </w:pPr>
    </w:p>
    <w:p w:rsidR="00E22056" w:rsidRPr="00F94C95" w:rsidP="00E22056" w14:paraId="6D5A5127" w14:textId="77777777">
      <w:pPr>
        <w:spacing w:before="180" w:after="120" w:line="260" w:lineRule="atLeast"/>
        <w:rPr>
          <w:rFonts w:ascii="Arial" w:eastAsia="Calibri" w:hAnsi="Arial"/>
          <w:sz w:val="22"/>
          <w:szCs w:val="20"/>
          <w:lang w:val="en-GB" w:eastAsia="en-US" w:bidi="ar-SA"/>
        </w:rPr>
        <w:sectPr w:rsidSect="00BB75C6">
          <w:headerReference w:type="default" r:id="rId21"/>
          <w:footerReference w:type="default" r:id="rId22"/>
          <w:pgSz w:w="16839" w:h="11907" w:orient="landscape" w:code="9"/>
          <w:pgMar w:top="1134" w:right="1417" w:bottom="1134" w:left="1417" w:header="680" w:footer="567" w:gutter="0"/>
          <w:cols w:space="708"/>
          <w:docGrid w:linePitch="360"/>
        </w:sectPr>
      </w:pPr>
    </w:p>
    <w:p w:rsidR="00E22056" w:rsidRPr="00044BDF" w:rsidP="00E22056" w14:paraId="3CE829DF" w14:textId="77777777">
      <w:pPr>
        <w:spacing w:before="180" w:after="120" w:line="260" w:lineRule="atLeast"/>
        <w:rPr>
          <w:rFonts w:ascii="Arial" w:eastAsia="Calibri" w:hAnsi="Arial"/>
          <w:sz w:val="22"/>
          <w:szCs w:val="20"/>
          <w:lang w:val="en-GB" w:eastAsia="en-US" w:bidi="ar-SA"/>
        </w:rPr>
      </w:pPr>
      <w:r w:rsidRPr="00044BDF">
        <w:rPr>
          <w:rFonts w:ascii="Arial" w:eastAsia="Calibri" w:hAnsi="Arial"/>
          <w:sz w:val="22"/>
          <w:szCs w:val="20"/>
          <w:lang w:val="en-GB" w:eastAsia="en-US" w:bidi="ar-SA"/>
        </w:rPr>
        <w:t>Guided by our tried and tested Powered methodology, we have a clear list of deliverables based on project milestones. Along with the key dependencies for each, these are described in detail below.</w:t>
      </w:r>
    </w:p>
    <w:p w:rsidR="00E22056" w:rsidRPr="001B0AD7" w:rsidP="00E22056" w14:paraId="319B2EA6" w14:textId="77777777">
      <w:pPr>
        <w:spacing w:before="180" w:after="120" w:line="260" w:lineRule="atLeast"/>
        <w:rPr>
          <w:rFonts w:ascii="Arial" w:eastAsia="Calibri" w:hAnsi="Arial"/>
          <w:b/>
          <w:iCs/>
          <w:sz w:val="22"/>
          <w:szCs w:val="20"/>
          <w:lang w:val="en-GB" w:eastAsia="en-US" w:bidi="ar-SA"/>
        </w:rPr>
      </w:pPr>
      <w:r w:rsidRPr="001B0AD7">
        <w:rPr>
          <w:rFonts w:ascii="Arial" w:eastAsia="Calibri" w:hAnsi="Arial"/>
          <w:b/>
          <w:iCs/>
          <w:sz w:val="22"/>
          <w:szCs w:val="20"/>
          <w:lang w:val="en-GB" w:eastAsia="en-US" w:bidi="ar-SA"/>
        </w:rPr>
        <w:t xml:space="preserve">Proposed </w:t>
      </w:r>
      <w:r>
        <w:rPr>
          <w:rFonts w:ascii="Arial" w:eastAsia="Calibri" w:hAnsi="Arial"/>
          <w:b/>
          <w:iCs/>
          <w:sz w:val="22"/>
          <w:szCs w:val="20"/>
          <w:lang w:val="en-GB" w:eastAsia="en-US" w:bidi="ar-SA"/>
        </w:rPr>
        <w:t xml:space="preserve">High-Level </w:t>
      </w:r>
      <w:r w:rsidRPr="001B0AD7">
        <w:rPr>
          <w:rFonts w:ascii="Arial" w:eastAsia="Calibri" w:hAnsi="Arial"/>
          <w:b/>
          <w:iCs/>
          <w:sz w:val="22"/>
          <w:szCs w:val="20"/>
          <w:lang w:val="en-GB" w:eastAsia="en-US" w:bidi="ar-SA"/>
        </w:rPr>
        <w:t>Schedule</w:t>
      </w:r>
    </w:p>
    <w:p w:rsidR="00E22056" w:rsidP="00E22056" w14:paraId="29595998" w14:textId="74A52D19">
      <w:pPr>
        <w:spacing w:before="180" w:after="120" w:line="260" w:lineRule="atLeast"/>
        <w:rPr>
          <w:rFonts w:ascii="Arial" w:eastAsia="Calibri" w:hAnsi="Arial"/>
          <w:sz w:val="22"/>
          <w:szCs w:val="20"/>
          <w:lang w:val="en-GB" w:eastAsia="en-US" w:bidi="ar-SA"/>
        </w:rPr>
      </w:pPr>
      <w:r w:rsidRPr="00F445DB">
        <w:rPr>
          <w:rFonts w:ascii="Arial" w:eastAsia="Calibri" w:hAnsi="Arial"/>
          <w:sz w:val="22"/>
          <w:szCs w:val="20"/>
          <w:lang w:val="en-GB" w:eastAsia="en-US" w:bidi="ar-SA"/>
        </w:rPr>
        <w:t xml:space="preserve">The </w:t>
      </w:r>
      <w:r>
        <w:rPr>
          <w:rFonts w:ascii="Arial" w:eastAsia="Calibri" w:hAnsi="Arial"/>
          <w:sz w:val="22"/>
          <w:szCs w:val="20"/>
          <w:lang w:val="en-GB" w:eastAsia="en-US" w:bidi="ar-SA"/>
        </w:rPr>
        <w:t xml:space="preserve">proposed schedule including </w:t>
      </w:r>
      <w:r w:rsidRPr="00F445DB">
        <w:rPr>
          <w:rFonts w:ascii="Arial" w:eastAsia="Calibri" w:hAnsi="Arial"/>
          <w:sz w:val="22"/>
          <w:szCs w:val="20"/>
          <w:lang w:val="en-GB" w:eastAsia="en-US" w:bidi="ar-SA"/>
        </w:rPr>
        <w:t xml:space="preserve">key milestones </w:t>
      </w:r>
      <w:r>
        <w:rPr>
          <w:rFonts w:ascii="Arial" w:eastAsia="Calibri" w:hAnsi="Arial"/>
          <w:sz w:val="22"/>
          <w:szCs w:val="20"/>
          <w:lang w:val="en-GB" w:eastAsia="en-US" w:bidi="ar-SA"/>
        </w:rPr>
        <w:t xml:space="preserve">in line with our proposed Project timeline for </w:t>
      </w:r>
      <w:r w:rsidR="00840C38">
        <w:rPr>
          <w:rFonts w:ascii="Arial" w:eastAsia="Calibri" w:hAnsi="Arial"/>
          <w:sz w:val="22"/>
          <w:szCs w:val="20"/>
          <w:lang w:val="en-GB" w:eastAsia="en-US" w:bidi="ar-SA"/>
        </w:rPr>
        <w:t>KPMG_New_company_003</w:t>
      </w:r>
      <w:r w:rsidRPr="00F445DB">
        <w:rPr>
          <w:rFonts w:ascii="Arial" w:eastAsia="Calibri" w:hAnsi="Arial"/>
          <w:sz w:val="22"/>
          <w:szCs w:val="20"/>
          <w:lang w:val="en-GB" w:eastAsia="en-US" w:bidi="ar-SA"/>
        </w:rPr>
        <w:t xml:space="preserve"> </w:t>
      </w:r>
      <w:r>
        <w:rPr>
          <w:rFonts w:ascii="Arial" w:eastAsia="Calibri" w:hAnsi="Arial"/>
          <w:sz w:val="22"/>
          <w:szCs w:val="20"/>
          <w:lang w:val="en-GB" w:eastAsia="en-US" w:bidi="ar-SA"/>
        </w:rPr>
        <w:t>is</w:t>
      </w:r>
      <w:r w:rsidRPr="00F445DB">
        <w:rPr>
          <w:rFonts w:ascii="Arial" w:eastAsia="Calibri" w:hAnsi="Arial"/>
          <w:sz w:val="22"/>
          <w:szCs w:val="20"/>
          <w:lang w:val="en-GB" w:eastAsia="en-US" w:bidi="ar-SA"/>
        </w:rPr>
        <w:t xml:space="preserve"> as set out </w:t>
      </w:r>
      <w:r>
        <w:rPr>
          <w:rFonts w:ascii="Arial" w:eastAsia="Calibri" w:hAnsi="Arial"/>
          <w:sz w:val="22"/>
          <w:szCs w:val="20"/>
          <w:lang w:val="en-GB" w:eastAsia="en-US" w:bidi="ar-SA"/>
        </w:rPr>
        <w:t xml:space="preserve">in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_Ref84446305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 xml:space="preserve">Table </w:t>
      </w:r>
      <w:r>
        <w:rPr>
          <w:rFonts w:ascii="Arial" w:eastAsia="Calibri" w:hAnsi="Arial"/>
          <w:noProof/>
          <w:sz w:val="22"/>
          <w:szCs w:val="20"/>
          <w:lang w:val="en-GB" w:eastAsia="en-US" w:bidi="ar-SA"/>
        </w:rPr>
        <w:t>8</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 xml:space="preserve"> </w:t>
      </w:r>
      <w:r w:rsidRPr="00F445DB">
        <w:rPr>
          <w:rFonts w:ascii="Arial" w:eastAsia="Calibri" w:hAnsi="Arial"/>
          <w:sz w:val="22"/>
          <w:szCs w:val="20"/>
          <w:lang w:val="en-GB" w:eastAsia="en-US" w:bidi="ar-SA"/>
        </w:rPr>
        <w:t xml:space="preserve">below. Note: the key milestone dates </w:t>
      </w:r>
      <w:r>
        <w:rPr>
          <w:rFonts w:ascii="Arial" w:eastAsia="Calibri" w:hAnsi="Arial"/>
          <w:sz w:val="22"/>
          <w:szCs w:val="20"/>
          <w:lang w:val="en-GB" w:eastAsia="en-US" w:bidi="ar-SA"/>
        </w:rPr>
        <w:t xml:space="preserve">are indicative and </w:t>
      </w:r>
      <w:r w:rsidRPr="00F445DB">
        <w:rPr>
          <w:rFonts w:ascii="Arial" w:eastAsia="Calibri" w:hAnsi="Arial"/>
          <w:sz w:val="22"/>
          <w:szCs w:val="20"/>
          <w:lang w:val="en-GB" w:eastAsia="en-US" w:bidi="ar-SA"/>
        </w:rPr>
        <w:t>are subject to change based on project start dates</w:t>
      </w:r>
      <w:r>
        <w:rPr>
          <w:rFonts w:ascii="Arial" w:eastAsia="Calibri" w:hAnsi="Arial"/>
          <w:sz w:val="22"/>
          <w:szCs w:val="20"/>
          <w:lang w:val="en-GB" w:eastAsia="en-US" w:bidi="ar-SA"/>
        </w:rPr>
        <w:t xml:space="preserve"> and joint planning with SJCHC.</w:t>
      </w:r>
    </w:p>
    <w:p w:rsidR="00E22056" w:rsidRPr="003317D4" w:rsidP="00E22056" w14:paraId="63CED40A" w14:textId="77777777">
      <w:pPr>
        <w:spacing w:before="180" w:after="120" w:line="260" w:lineRule="atLeast"/>
        <w:rPr>
          <w:rFonts w:ascii="Arial" w:eastAsia="Calibri" w:hAnsi="Arial"/>
          <w:sz w:val="22"/>
          <w:szCs w:val="20"/>
          <w:lang w:val="en-GB" w:eastAsia="en-US" w:bidi="ar-SA"/>
        </w:rPr>
      </w:pPr>
      <w:r w:rsidRPr="001F610E">
        <w:rPr>
          <w:rFonts w:ascii="Arial" w:eastAsia="Calibri" w:hAnsi="Arial"/>
          <w:b/>
          <w:iCs/>
          <w:sz w:val="22"/>
          <w:szCs w:val="20"/>
          <w:lang w:val="en-GB" w:eastAsia="en-US" w:bidi="ar-SA"/>
        </w:rPr>
        <w:t>Functional Scope:</w:t>
      </w:r>
      <w:r w:rsidRPr="000F251E">
        <w:rPr>
          <w:rFonts w:ascii="Arial" w:eastAsia="Calibri" w:hAnsi="Arial"/>
          <w:b/>
          <w:iCs/>
          <w:sz w:val="22"/>
          <w:szCs w:val="20"/>
          <w:lang w:val="en-GB" w:eastAsia="en-US" w:bidi="ar-SA"/>
        </w:rPr>
        <w:t xml:space="preserve"> </w:t>
      </w:r>
      <w:r w:rsidRPr="00A04CF1">
        <w:rPr>
          <w:rFonts w:ascii="Arial" w:eastAsia="Calibri" w:hAnsi="Arial"/>
          <w:sz w:val="22"/>
          <w:szCs w:val="20"/>
          <w:lang w:val="en-GB" w:eastAsia="en-US" w:bidi="ar-SA"/>
        </w:rPr>
        <w:t xml:space="preserve">Workday Core HCM, Core Compensation, Onboarding, Recruiting, Absence Management </w:t>
      </w:r>
      <w:r>
        <w:rPr>
          <w:rFonts w:ascii="Arial" w:eastAsia="Calibri" w:hAnsi="Arial"/>
          <w:sz w:val="22"/>
          <w:szCs w:val="20"/>
          <w:lang w:val="en-GB" w:eastAsia="en-US" w:bidi="ar-SA"/>
        </w:rPr>
        <w:t>Talent &amp; Performance, Benefits</w:t>
      </w:r>
      <w:r w:rsidRPr="00A04CF1">
        <w:rPr>
          <w:rFonts w:ascii="Arial" w:eastAsia="Calibri" w:hAnsi="Arial"/>
          <w:sz w:val="22"/>
          <w:szCs w:val="20"/>
          <w:lang w:val="en-GB" w:eastAsia="en-US" w:bidi="ar-SA"/>
        </w:rPr>
        <w:t xml:space="preserve"> and Cloud Connect Third-Party (Payroll Integration)</w:t>
      </w:r>
      <w:r>
        <w:rPr>
          <w:rFonts w:ascii="Arial" w:eastAsia="Calibri" w:hAnsi="Arial"/>
          <w:sz w:val="22"/>
          <w:szCs w:val="20"/>
          <w:lang w:val="en-GB" w:eastAsia="en-US" w:bidi="ar-SA"/>
        </w:rPr>
        <w:t>.</w:t>
      </w:r>
    </w:p>
    <w:p w:rsidR="00E22056" w:rsidP="00E22056" w14:paraId="10A969D7" w14:textId="77777777">
      <w:pPr>
        <w:spacing w:before="40" w:after="40" w:line="260" w:lineRule="atLeast"/>
        <w:rPr>
          <w:rFonts w:ascii="Arial" w:eastAsia="Calibri" w:hAnsi="Arial"/>
          <w:b/>
          <w:iCs/>
          <w:color w:val="00338D"/>
          <w:sz w:val="18"/>
          <w:szCs w:val="18"/>
          <w:lang w:val="en-GB" w:eastAsia="en-US" w:bidi="ar-SA"/>
        </w:rPr>
      </w:pPr>
      <w:bookmarkStart w:id="30" w:name="_Ref84446305"/>
      <w:bookmarkStart w:id="31" w:name="_Toc84576278"/>
      <w:r>
        <w:rPr>
          <w:rFonts w:ascii="Arial" w:eastAsia="Calibri" w:hAnsi="Arial"/>
          <w:b/>
          <w:iCs/>
          <w:color w:val="00338D"/>
          <w:sz w:val="18"/>
          <w:szCs w:val="18"/>
          <w:lang w:val="en-GB" w:eastAsia="en-US" w:bidi="ar-SA"/>
        </w:rPr>
        <w:t xml:space="preserve">Table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Table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30"/>
      <w:r>
        <w:rPr>
          <w:rFonts w:ascii="Arial" w:eastAsia="Calibri" w:hAnsi="Arial"/>
          <w:b/>
          <w:iCs/>
          <w:color w:val="00338D"/>
          <w:sz w:val="18"/>
          <w:szCs w:val="18"/>
          <w:lang w:val="en-GB" w:eastAsia="en-US" w:bidi="ar-SA"/>
        </w:rPr>
        <w:t>: KPMG Proposed Schedule.</w:t>
      </w:r>
      <w:bookmarkEnd w:id="31"/>
    </w:p>
    <w:tbl>
      <w:tblPr>
        <w:tblStyle w:val="KPMGTable2"/>
        <w:tblCaption w:val="Table_1"/>
        <w:tblW w:w="9639" w:type="dxa"/>
        <w:tblLook w:val="00A0"/>
      </w:tblPr>
      <w:tblGrid>
        <w:gridCol w:w="571"/>
        <w:gridCol w:w="1551"/>
        <w:gridCol w:w="2836"/>
        <w:gridCol w:w="1841"/>
        <w:gridCol w:w="2840"/>
      </w:tblGrid>
      <w:tr w14:paraId="388C528C" w14:textId="77777777" w:rsidTr="001D23A9">
        <w:tblPrEx>
          <w:tblW w:w="9639" w:type="dxa"/>
          <w:tblLook w:val="00A0"/>
        </w:tblPrEx>
        <w:tc>
          <w:tcPr>
            <w:tcW w:w="296" w:type="pct"/>
          </w:tcPr>
          <w:p w:rsidR="00E22056" w:rsidRPr="00AD3A76" w:rsidP="001D23A9" w14:paraId="4E4E074A" w14:textId="77777777">
            <w:pPr>
              <w:spacing w:before="40" w:after="40" w:line="260" w:lineRule="atLeast"/>
              <w:jc w:val="left"/>
              <w:rPr>
                <w:b/>
                <w:color w:val="FFFFFF"/>
                <w:szCs w:val="20"/>
              </w:rPr>
            </w:pPr>
            <w:r w:rsidRPr="00AD3A76">
              <w:rPr>
                <w:b/>
                <w:color w:val="FFFFFF"/>
                <w:szCs w:val="20"/>
              </w:rPr>
              <w:t>No.</w:t>
            </w:r>
          </w:p>
        </w:tc>
        <w:tc>
          <w:tcPr>
            <w:tcW w:w="805" w:type="pct"/>
          </w:tcPr>
          <w:p w:rsidR="00E22056" w:rsidRPr="00AD3A76" w:rsidP="001D23A9" w14:paraId="227A85D7" w14:textId="77777777">
            <w:pPr>
              <w:spacing w:before="40" w:after="40" w:line="260" w:lineRule="atLeast"/>
              <w:jc w:val="left"/>
              <w:rPr>
                <w:b/>
                <w:color w:val="FFFFFF"/>
                <w:szCs w:val="20"/>
              </w:rPr>
            </w:pPr>
            <w:r w:rsidRPr="00AD3A76">
              <w:rPr>
                <w:b/>
                <w:color w:val="FFFFFF"/>
                <w:szCs w:val="20"/>
              </w:rPr>
              <w:t>Milestones</w:t>
            </w:r>
          </w:p>
        </w:tc>
        <w:tc>
          <w:tcPr>
            <w:tcW w:w="1471" w:type="pct"/>
          </w:tcPr>
          <w:p w:rsidR="00E22056" w:rsidRPr="00AD3A76" w:rsidP="001D23A9" w14:paraId="516D486B" w14:textId="77777777">
            <w:pPr>
              <w:spacing w:before="40" w:after="40" w:line="260" w:lineRule="atLeast"/>
              <w:jc w:val="left"/>
              <w:rPr>
                <w:b/>
                <w:color w:val="FFFFFF"/>
                <w:szCs w:val="20"/>
              </w:rPr>
            </w:pPr>
            <w:r w:rsidRPr="00AD3A76">
              <w:rPr>
                <w:b/>
                <w:color w:val="FFFFFF"/>
                <w:szCs w:val="20"/>
              </w:rPr>
              <w:t>Description</w:t>
            </w:r>
          </w:p>
        </w:tc>
        <w:tc>
          <w:tcPr>
            <w:tcW w:w="955" w:type="pct"/>
          </w:tcPr>
          <w:p w:rsidR="00E22056" w:rsidRPr="00AD3A76" w:rsidP="001D23A9" w14:paraId="68801D5D" w14:textId="77777777">
            <w:pPr>
              <w:spacing w:before="40" w:after="40" w:line="260" w:lineRule="atLeast"/>
              <w:jc w:val="left"/>
              <w:rPr>
                <w:b/>
                <w:color w:val="FFFFFF"/>
                <w:szCs w:val="20"/>
              </w:rPr>
            </w:pPr>
            <w:r w:rsidRPr="00AD3A76">
              <w:rPr>
                <w:b/>
                <w:color w:val="FFFFFF"/>
                <w:szCs w:val="20"/>
              </w:rPr>
              <w:t>Estimated Due Date</w:t>
            </w:r>
          </w:p>
        </w:tc>
        <w:tc>
          <w:tcPr>
            <w:tcW w:w="1473" w:type="pct"/>
          </w:tcPr>
          <w:p w:rsidR="00E22056" w:rsidRPr="00AD3A76" w:rsidP="001D23A9" w14:paraId="15F37997" w14:textId="77777777">
            <w:pPr>
              <w:spacing w:before="40" w:after="40" w:line="260" w:lineRule="atLeast"/>
              <w:jc w:val="left"/>
              <w:rPr>
                <w:b/>
                <w:color w:val="FFFFFF"/>
                <w:szCs w:val="20"/>
              </w:rPr>
            </w:pPr>
            <w:r w:rsidRPr="00AD3A76">
              <w:rPr>
                <w:b/>
                <w:color w:val="FFFFFF"/>
                <w:szCs w:val="20"/>
              </w:rPr>
              <w:t>High-Level Dependencies/Approval Requirements</w:t>
            </w:r>
          </w:p>
        </w:tc>
      </w:tr>
      <w:tr w14:paraId="253C948C" w14:textId="77777777" w:rsidTr="001D23A9">
        <w:tblPrEx>
          <w:tblW w:w="9639" w:type="dxa"/>
          <w:tblLook w:val="00A0"/>
        </w:tblPrEx>
        <w:tc>
          <w:tcPr>
            <w:tcW w:w="296" w:type="pct"/>
          </w:tcPr>
          <w:p w:rsidR="00E22056" w:rsidRPr="00A04CF1" w:rsidP="001D23A9" w14:paraId="7A47A3A4" w14:textId="77777777">
            <w:pPr>
              <w:spacing w:before="180" w:after="120" w:line="260" w:lineRule="atLeast"/>
              <w:rPr>
                <w:szCs w:val="20"/>
              </w:rPr>
            </w:pPr>
            <w:r w:rsidRPr="00A04CF1">
              <w:rPr>
                <w:szCs w:val="20"/>
              </w:rPr>
              <w:t>1</w:t>
            </w:r>
          </w:p>
        </w:tc>
        <w:tc>
          <w:tcPr>
            <w:tcW w:w="805" w:type="pct"/>
          </w:tcPr>
          <w:p w:rsidR="00E22056" w:rsidRPr="00A04CF1" w:rsidP="001D23A9" w14:paraId="295DC22A" w14:textId="77777777">
            <w:pPr>
              <w:spacing w:before="180" w:after="120" w:line="260" w:lineRule="atLeast"/>
              <w:rPr>
                <w:szCs w:val="20"/>
              </w:rPr>
            </w:pPr>
            <w:r w:rsidRPr="00A04CF1">
              <w:rPr>
                <w:szCs w:val="20"/>
              </w:rPr>
              <w:t>Project Governance Established</w:t>
            </w:r>
          </w:p>
        </w:tc>
        <w:tc>
          <w:tcPr>
            <w:tcW w:w="1471" w:type="pct"/>
          </w:tcPr>
          <w:p w:rsidR="00E22056" w:rsidRPr="00A04CF1" w:rsidP="001D23A9" w14:paraId="0CEE9B34" w14:textId="77777777">
            <w:pPr>
              <w:spacing w:before="180" w:after="120" w:line="260" w:lineRule="atLeast"/>
              <w:rPr>
                <w:szCs w:val="20"/>
              </w:rPr>
            </w:pPr>
            <w:r>
              <w:rPr>
                <w:szCs w:val="20"/>
              </w:rPr>
              <w:t xml:space="preserve">Governance is planned and established for </w:t>
            </w:r>
            <w:r w:rsidRPr="00A04CF1">
              <w:rPr>
                <w:szCs w:val="20"/>
              </w:rPr>
              <w:t>project delivery.</w:t>
            </w:r>
          </w:p>
        </w:tc>
        <w:tc>
          <w:tcPr>
            <w:tcW w:w="955" w:type="pct"/>
          </w:tcPr>
          <w:p>
            <w:pPr>
              <w:spacing w:before="180" w:after="120" w:line="260" w:lineRule="atLeast"/>
            </w:pPr>
            <w:r>
              <w:br/>
              <w:t>April 21, 2023</w:t>
            </w:r>
          </w:p>
        </w:tc>
        <w:tc>
          <w:tcPr>
            <w:tcW w:w="1473" w:type="pct"/>
          </w:tcPr>
          <w:p w:rsidR="00E22056" w:rsidRPr="00A04CF1" w:rsidP="001D23A9" w14:paraId="72FE6A2F" w14:textId="77777777">
            <w:pPr>
              <w:spacing w:before="180" w:after="120" w:line="260" w:lineRule="atLeast"/>
              <w:rPr>
                <w:szCs w:val="20"/>
              </w:rPr>
            </w:pPr>
            <w:r>
              <w:rPr>
                <w:szCs w:val="20"/>
              </w:rPr>
              <w:t>P</w:t>
            </w:r>
            <w:r w:rsidRPr="00A04CF1">
              <w:rPr>
                <w:szCs w:val="20"/>
              </w:rPr>
              <w:t xml:space="preserve">roject governance, including reporting, has been </w:t>
            </w:r>
            <w:r>
              <w:rPr>
                <w:szCs w:val="20"/>
              </w:rPr>
              <w:t>endorsed.</w:t>
            </w:r>
          </w:p>
        </w:tc>
      </w:tr>
      <w:tr w14:paraId="1E46532A" w14:textId="77777777" w:rsidTr="001D23A9">
        <w:tblPrEx>
          <w:tblW w:w="9639" w:type="dxa"/>
          <w:tblLook w:val="00A0"/>
        </w:tblPrEx>
        <w:tc>
          <w:tcPr>
            <w:tcW w:w="296" w:type="pct"/>
          </w:tcPr>
          <w:p w:rsidR="00E22056" w:rsidRPr="00A04CF1" w:rsidP="001D23A9" w14:paraId="201B81EC" w14:textId="77777777">
            <w:pPr>
              <w:spacing w:before="180" w:after="120" w:line="260" w:lineRule="atLeast"/>
              <w:rPr>
                <w:szCs w:val="20"/>
              </w:rPr>
            </w:pPr>
            <w:r>
              <w:rPr>
                <w:szCs w:val="20"/>
              </w:rPr>
              <w:t>2</w:t>
            </w:r>
          </w:p>
        </w:tc>
        <w:tc>
          <w:tcPr>
            <w:tcW w:w="805" w:type="pct"/>
          </w:tcPr>
          <w:p w:rsidR="00E22056" w:rsidRPr="00A04CF1" w:rsidP="001D23A9" w14:paraId="5A540403" w14:textId="77777777">
            <w:pPr>
              <w:spacing w:before="180" w:after="120" w:line="260" w:lineRule="atLeast"/>
              <w:rPr>
                <w:szCs w:val="20"/>
              </w:rPr>
            </w:pPr>
            <w:r>
              <w:rPr>
                <w:szCs w:val="20"/>
              </w:rPr>
              <w:t xml:space="preserve">Vision and </w:t>
            </w:r>
            <w:r w:rsidRPr="0046408D">
              <w:rPr>
                <w:szCs w:val="20"/>
              </w:rPr>
              <w:t>Leadership Alignment Endorsed</w:t>
            </w:r>
          </w:p>
        </w:tc>
        <w:tc>
          <w:tcPr>
            <w:tcW w:w="1471" w:type="pct"/>
          </w:tcPr>
          <w:p w:rsidR="00E22056" w:rsidP="001D23A9" w14:paraId="642AD9A7" w14:textId="05BB8DED">
            <w:pPr>
              <w:spacing w:before="180" w:after="120" w:line="260" w:lineRule="atLeast"/>
              <w:rPr>
                <w:szCs w:val="20"/>
              </w:rPr>
            </w:pPr>
            <w:r>
              <w:rPr>
                <w:szCs w:val="20"/>
              </w:rPr>
              <w:t>[CLIENT_NAME]</w:t>
            </w:r>
            <w:r>
              <w:rPr>
                <w:szCs w:val="20"/>
              </w:rPr>
              <w:t xml:space="preserve"> Leaders are aligned and engaged with the scope and governance of the transformation.</w:t>
            </w:r>
          </w:p>
        </w:tc>
        <w:tc>
          <w:tcPr>
            <w:tcW w:w="955" w:type="pct"/>
          </w:tcPr>
          <w:p>
            <w:pPr>
              <w:spacing w:before="180" w:after="120" w:line="260" w:lineRule="atLeast"/>
            </w:pPr>
            <w:r>
              <w:t>m</w:t>
              <w:br/>
              <w:t>April 21, 2023</w:t>
              <w:br/>
            </w:r>
          </w:p>
        </w:tc>
        <w:tc>
          <w:tcPr>
            <w:tcW w:w="1473" w:type="pct"/>
          </w:tcPr>
          <w:p w:rsidR="00E22056" w:rsidP="001D23A9" w14:paraId="4A2C3DA9" w14:textId="77777777">
            <w:pPr>
              <w:spacing w:before="180" w:after="120" w:line="260" w:lineRule="atLeast"/>
              <w:rPr>
                <w:szCs w:val="20"/>
              </w:rPr>
            </w:pPr>
            <w:r>
              <w:rPr>
                <w:szCs w:val="20"/>
              </w:rPr>
              <w:t>Change Risk Assessment is complete and Operating Model Alignment workshop is complete.</w:t>
            </w:r>
          </w:p>
        </w:tc>
      </w:tr>
      <w:tr w14:paraId="2D9B6DC6" w14:textId="77777777" w:rsidTr="001D23A9">
        <w:tblPrEx>
          <w:tblW w:w="9639" w:type="dxa"/>
          <w:tblLook w:val="00A0"/>
        </w:tblPrEx>
        <w:tc>
          <w:tcPr>
            <w:tcW w:w="296" w:type="pct"/>
          </w:tcPr>
          <w:p w:rsidR="00E22056" w:rsidP="001D23A9" w14:paraId="0AF132C6" w14:textId="77777777">
            <w:pPr>
              <w:spacing w:before="180" w:after="120" w:line="260" w:lineRule="atLeast"/>
              <w:rPr>
                <w:szCs w:val="20"/>
              </w:rPr>
            </w:pPr>
            <w:r>
              <w:rPr>
                <w:szCs w:val="20"/>
              </w:rPr>
              <w:t>3</w:t>
            </w:r>
          </w:p>
        </w:tc>
        <w:tc>
          <w:tcPr>
            <w:tcW w:w="805" w:type="pct"/>
          </w:tcPr>
          <w:p w:rsidR="00E22056" w:rsidP="001D23A9" w14:paraId="62359877" w14:textId="77777777">
            <w:pPr>
              <w:spacing w:before="180" w:after="120" w:line="260" w:lineRule="atLeast"/>
              <w:rPr>
                <w:szCs w:val="20"/>
              </w:rPr>
            </w:pPr>
            <w:r>
              <w:rPr>
                <w:szCs w:val="20"/>
              </w:rPr>
              <w:t>Foundation Tenant Complete</w:t>
            </w:r>
          </w:p>
        </w:tc>
        <w:tc>
          <w:tcPr>
            <w:tcW w:w="1471" w:type="pct"/>
          </w:tcPr>
          <w:p w:rsidR="00E22056" w:rsidRPr="00A04CF1" w:rsidP="001D23A9" w14:paraId="3D26F276" w14:textId="510B67F7">
            <w:pPr>
              <w:spacing w:before="180" w:after="120" w:line="260" w:lineRule="atLeast"/>
              <w:rPr>
                <w:szCs w:val="20"/>
              </w:rPr>
            </w:pPr>
            <w:r>
              <w:rPr>
                <w:szCs w:val="20"/>
              </w:rPr>
              <w:t xml:space="preserve">The first Workday Prototype build is complete incorporating sample data from </w:t>
            </w:r>
            <w:r w:rsidR="00840C38">
              <w:rPr>
                <w:szCs w:val="20"/>
              </w:rPr>
              <w:t>[CLIENT_NAME]</w:t>
            </w:r>
            <w:r>
              <w:rPr>
                <w:szCs w:val="20"/>
              </w:rPr>
              <w:t>, and KPMG Powered Healthcare enabled by Workday HCM business processes.</w:t>
            </w:r>
          </w:p>
        </w:tc>
        <w:tc>
          <w:tcPr>
            <w:tcW w:w="955" w:type="pct"/>
          </w:tcPr>
          <w:p>
            <w:pPr>
              <w:spacing w:before="180" w:after="120" w:line="260" w:lineRule="atLeast"/>
            </w:pPr>
            <w:r>
              <w:t>April 21, 2023</w:t>
              <w:br/>
            </w:r>
          </w:p>
        </w:tc>
        <w:tc>
          <w:tcPr>
            <w:tcW w:w="1473" w:type="pct"/>
          </w:tcPr>
          <w:p w:rsidR="00E22056" w:rsidRPr="00A04CF1" w:rsidP="001D23A9" w14:paraId="4C352363" w14:textId="4BDB7A61">
            <w:pPr>
              <w:spacing w:before="180" w:after="120" w:line="260" w:lineRule="atLeast"/>
              <w:rPr>
                <w:szCs w:val="20"/>
              </w:rPr>
            </w:pPr>
            <w:r>
              <w:rPr>
                <w:szCs w:val="20"/>
              </w:rPr>
              <w:t xml:space="preserve">Sample organisation data is provided by </w:t>
            </w:r>
            <w:r w:rsidR="00840C38">
              <w:rPr>
                <w:szCs w:val="20"/>
              </w:rPr>
              <w:t>[CLIENT_NAME]</w:t>
            </w:r>
            <w:r>
              <w:rPr>
                <w:szCs w:val="20"/>
              </w:rPr>
              <w:t>.</w:t>
            </w:r>
          </w:p>
        </w:tc>
      </w:tr>
    </w:tbl>
    <w:p>
      <w:r>
        <w:rPr>
          <w:b/>
          <w:color w:val="FF0000"/>
          <w:sz w:val="24"/>
        </w:rPr>
        <w:t>This document was truncated here because it was created in the Evaluation Mode.</w:t>
      </w:r>
    </w:p>
    <w:sectPr>
      <w:headerReference w:type="default" r:id="rId23"/>
      <w:footerReference w:type="default" r:id="rI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019286002"/>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7456"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6848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4384" behindDoc="1" locked="0" layoutInCell="1" allowOverlap="1">
          <wp:simplePos x="0" y="0"/>
          <wp:positionH relativeFrom="margin">
            <wp:align>center</wp:align>
          </wp:positionH>
          <wp:positionV relativeFrom="margin">
            <wp:align>center</wp:align>
          </wp:positionV>
          <wp:extent cx="6120765" cy="3326503"/>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6950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11271209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1209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5408" behindDoc="1" locked="0" layoutInCell="1" allowOverlap="1">
          <wp:simplePos x="0" y="0"/>
          <wp:positionH relativeFrom="margin">
            <wp:align>center</wp:align>
          </wp:positionH>
          <wp:positionV relativeFrom="margin">
            <wp:align>center</wp:align>
          </wp:positionV>
          <wp:extent cx="8763000" cy="4762500"/>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44BDF"/>
    <w:rsid w:val="00061104"/>
    <w:rsid w:val="00072471"/>
    <w:rsid w:val="000F251E"/>
    <w:rsid w:val="000F6A17"/>
    <w:rsid w:val="00127593"/>
    <w:rsid w:val="00152BE1"/>
    <w:rsid w:val="0017755B"/>
    <w:rsid w:val="001B0AD7"/>
    <w:rsid w:val="001D23A9"/>
    <w:rsid w:val="001D368C"/>
    <w:rsid w:val="001F610E"/>
    <w:rsid w:val="00216660"/>
    <w:rsid w:val="0022146A"/>
    <w:rsid w:val="002913EC"/>
    <w:rsid w:val="002B4EC3"/>
    <w:rsid w:val="00307018"/>
    <w:rsid w:val="00320939"/>
    <w:rsid w:val="003218B7"/>
    <w:rsid w:val="003317D4"/>
    <w:rsid w:val="00370E48"/>
    <w:rsid w:val="003877BE"/>
    <w:rsid w:val="003A133B"/>
    <w:rsid w:val="003B67BB"/>
    <w:rsid w:val="003D480E"/>
    <w:rsid w:val="003D4E05"/>
    <w:rsid w:val="003D7D85"/>
    <w:rsid w:val="004247F3"/>
    <w:rsid w:val="00441049"/>
    <w:rsid w:val="00442D8C"/>
    <w:rsid w:val="00443302"/>
    <w:rsid w:val="0046408D"/>
    <w:rsid w:val="004855AC"/>
    <w:rsid w:val="004B00E0"/>
    <w:rsid w:val="004B5263"/>
    <w:rsid w:val="004C5C42"/>
    <w:rsid w:val="005332F2"/>
    <w:rsid w:val="00576659"/>
    <w:rsid w:val="00580078"/>
    <w:rsid w:val="005B2BC0"/>
    <w:rsid w:val="005D1020"/>
    <w:rsid w:val="005F4D6B"/>
    <w:rsid w:val="00600FE2"/>
    <w:rsid w:val="00615A70"/>
    <w:rsid w:val="00617C61"/>
    <w:rsid w:val="00637909"/>
    <w:rsid w:val="00686132"/>
    <w:rsid w:val="006D44F4"/>
    <w:rsid w:val="006F3B3A"/>
    <w:rsid w:val="0071078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4CF1"/>
    <w:rsid w:val="00A17EEF"/>
    <w:rsid w:val="00A206BC"/>
    <w:rsid w:val="00A46BB3"/>
    <w:rsid w:val="00A53BAA"/>
    <w:rsid w:val="00A616C7"/>
    <w:rsid w:val="00A61A97"/>
    <w:rsid w:val="00A77B3E"/>
    <w:rsid w:val="00AB4429"/>
    <w:rsid w:val="00AC5A7E"/>
    <w:rsid w:val="00AD3A76"/>
    <w:rsid w:val="00B23348"/>
    <w:rsid w:val="00B41FBF"/>
    <w:rsid w:val="00B45A20"/>
    <w:rsid w:val="00B77A6E"/>
    <w:rsid w:val="00B80CFE"/>
    <w:rsid w:val="00BA1E60"/>
    <w:rsid w:val="00BE3A09"/>
    <w:rsid w:val="00BF61BF"/>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445DB"/>
    <w:rsid w:val="00F829A4"/>
    <w:rsid w:val="00F87C77"/>
    <w:rsid w:val="00F94417"/>
    <w:rsid w:val="00F94C95"/>
    <w:rsid w:val="00FF379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emf" /><Relationship Id="rId17" Type="http://schemas.openxmlformats.org/officeDocument/2006/relationships/image" Target="media/image9.png" /><Relationship Id="rId18" Type="http://schemas.openxmlformats.org/officeDocument/2006/relationships/header" Target="header6.xml" /><Relationship Id="rId19" Type="http://schemas.openxmlformats.org/officeDocument/2006/relationships/footer" Target="footer4.xml"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header" Target="header7.xml" /><Relationship Id="rId22" Type="http://schemas.openxmlformats.org/officeDocument/2006/relationships/footer" Target="footer5.xml" /><Relationship Id="rId23" Type="http://schemas.openxmlformats.org/officeDocument/2006/relationships/header" Target="header8.xml" /><Relationship Id="rId24" Type="http://schemas.openxmlformats.org/officeDocument/2006/relationships/footer" Target="footer6.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4.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