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IMAGE</w:t>
      </w:r>
    </w:p>
    <w:p>
      <w:r>
        <w:rPr>
          <w:b/>
        </w:rPr>
        <w:t>Images:</w:t>
      </w:r>
    </w:p>
    <w:p>
      <w:r>
        <w:drawing>
          <wp:inline xmlns:a="http://schemas.openxmlformats.org/drawingml/2006/main" xmlns:pic="http://schemas.openxmlformats.org/drawingml/2006/picture">
            <wp:extent cx="5937504" cy="190195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ealthcare_AU_Implementation Approach_Figure 6 KPMG Powered Enterprise Benefits to SJGHC (4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7504" cy="19019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Images:</w:t>
      </w:r>
    </w:p>
    <w:p>
      <w:r>
        <w:drawing>
          <wp:inline xmlns:a="http://schemas.openxmlformats.org/drawingml/2006/main" xmlns:pic="http://schemas.openxmlformats.org/drawingml/2006/picture">
            <wp:extent cx="4937760" cy="491337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ealthcare_AU_Implementation Approach_Figure 7 KPMG Powered Enterprise Six-Layer TOM Framework (1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4913376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