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DD61B" w14:textId="77777777" w:rsidR="00651783" w:rsidRPr="00651783" w:rsidRDefault="00651783" w:rsidP="00651783">
      <w:pPr>
        <w:pStyle w:val="KPMGResponse"/>
        <w:rPr>
          <w:rStyle w:val="Strong"/>
          <w:rFonts w:cstheme="minorHAnsi"/>
          <w:b w:val="0"/>
          <w:color w:val="auto"/>
          <w:sz w:val="22"/>
          <w:szCs w:val="22"/>
        </w:rPr>
      </w:pPr>
      <w:r w:rsidRPr="00651783">
        <w:rPr>
          <w:rFonts w:cstheme="minorHAnsi"/>
          <w:color w:val="auto"/>
          <w:sz w:val="22"/>
          <w:szCs w:val="22"/>
        </w:rPr>
        <w:t>We have</w:t>
      </w:r>
      <w:r w:rsidRPr="00651783">
        <w:rPr>
          <w:rStyle w:val="Strong"/>
          <w:rFonts w:cstheme="minorHAnsi"/>
          <w:color w:val="auto"/>
          <w:sz w:val="22"/>
          <w:szCs w:val="22"/>
        </w:rPr>
        <w:t xml:space="preserve"> experience where clients have continued to grow prior to and during their transformations; KPMG knows how to systematically get acquired entities integrated into an existing ERP program. KPMG’s Make It methodology can be tailored to accommodate onboarding acquired entities, while continuing to drive adoption at the acquiring organization. </w:t>
      </w:r>
    </w:p>
    <w:p w14:paraId="208B909E" w14:textId="77777777" w:rsidR="00651783" w:rsidRPr="00651783" w:rsidRDefault="00651783" w:rsidP="00651783">
      <w:pPr>
        <w:pStyle w:val="KPMGResponse"/>
        <w:rPr>
          <w:rStyle w:val="Strong"/>
          <w:rFonts w:cstheme="minorHAnsi"/>
          <w:b w:val="0"/>
          <w:color w:val="auto"/>
          <w:sz w:val="22"/>
          <w:szCs w:val="22"/>
        </w:rPr>
      </w:pPr>
      <w:r w:rsidRPr="00651783">
        <w:rPr>
          <w:rFonts w:cstheme="minorHAnsi"/>
          <w:color w:val="auto"/>
          <w:sz w:val="22"/>
          <w:szCs w:val="22"/>
        </w:rPr>
        <w:t>Our approach serves as an iterative tool that is updated throughout the course of the implementation, to allow us to seamlessly address the needs of the newly acquired stakeholders and identify the true impact of the workday implementation on their organization. We deliver a digitally enabled change solution f</w:t>
      </w:r>
      <w:r w:rsidRPr="00651783">
        <w:rPr>
          <w:rStyle w:val="Strong"/>
          <w:rFonts w:cstheme="minorHAnsi"/>
          <w:color w:val="auto"/>
          <w:sz w:val="22"/>
          <w:szCs w:val="22"/>
        </w:rPr>
        <w:t>or end users that also addresses our clients’ needs in today’s working environment with increased work schedule, and location, flexibility, and a focus on socially distant workspaces. Our digital change solution, Change Frame, allows us to quickly introduce new stakeholders to the project, keeping them abreast of the progress and making them aware of actions that should be taken that are specifically tied to their role(s).</w:t>
      </w:r>
    </w:p>
    <w:p w14:paraId="2537C9D4" w14:textId="77777777" w:rsidR="00651783" w:rsidRPr="00651783" w:rsidRDefault="00651783" w:rsidP="00651783">
      <w:pPr>
        <w:pStyle w:val="KPMGResponse"/>
        <w:rPr>
          <w:rStyle w:val="Strong"/>
          <w:rFonts w:cstheme="minorHAnsi"/>
          <w:b w:val="0"/>
          <w:color w:val="auto"/>
          <w:sz w:val="22"/>
          <w:szCs w:val="22"/>
        </w:rPr>
      </w:pPr>
      <w:r w:rsidRPr="00651783">
        <w:rPr>
          <w:rFonts w:cstheme="minorHAnsi"/>
          <w:color w:val="auto"/>
          <w:sz w:val="22"/>
          <w:szCs w:val="22"/>
        </w:rPr>
        <w:t xml:space="preserve">Additionally, with organizational changes, defining the future state culture of the organization is key. We help define the </w:t>
      </w:r>
      <w:r w:rsidRPr="00651783">
        <w:rPr>
          <w:rStyle w:val="Strong"/>
          <w:rFonts w:cstheme="minorHAnsi"/>
          <w:color w:val="auto"/>
          <w:sz w:val="22"/>
          <w:szCs w:val="22"/>
        </w:rPr>
        <w:t>cultural drivers necessary to drive the business results expected from the Workday transformation.</w:t>
      </w:r>
    </w:p>
    <w:p w14:paraId="684687FB" w14:textId="77777777" w:rsidR="00651783" w:rsidRPr="00651783" w:rsidRDefault="00651783" w:rsidP="00651783">
      <w:pPr>
        <w:pStyle w:val="KPMGResponse"/>
        <w:rPr>
          <w:rStyle w:val="Strong"/>
          <w:rFonts w:cstheme="minorHAnsi"/>
          <w:b w:val="0"/>
          <w:color w:val="auto"/>
          <w:sz w:val="22"/>
          <w:szCs w:val="22"/>
        </w:rPr>
      </w:pPr>
      <w:r w:rsidRPr="00651783">
        <w:rPr>
          <w:rFonts w:cstheme="minorHAnsi"/>
          <w:color w:val="auto"/>
          <w:sz w:val="22"/>
          <w:szCs w:val="22"/>
        </w:rPr>
        <w:t>Experience</w:t>
      </w:r>
      <w:r w:rsidRPr="00651783">
        <w:rPr>
          <w:rStyle w:val="Strong"/>
          <w:rFonts w:cstheme="minorHAnsi"/>
          <w:color w:val="auto"/>
          <w:sz w:val="22"/>
          <w:szCs w:val="22"/>
        </w:rPr>
        <w:t xml:space="preserve"> with cloud migrations during acquisition include Mercy Bon Secours and UPMC’s acquisition of Pinnacle Health. We also successfully implemented Workday Finance and Supply Chain, at OhioHealth shortly after their acquisition of </w:t>
      </w:r>
      <w:proofErr w:type="spellStart"/>
      <w:r w:rsidRPr="00651783">
        <w:rPr>
          <w:rStyle w:val="Strong"/>
          <w:rFonts w:cstheme="minorHAnsi"/>
          <w:color w:val="auto"/>
          <w:sz w:val="22"/>
          <w:szCs w:val="22"/>
        </w:rPr>
        <w:t>O’Bleness</w:t>
      </w:r>
      <w:proofErr w:type="spellEnd"/>
      <w:r w:rsidRPr="00651783">
        <w:rPr>
          <w:rStyle w:val="Strong"/>
          <w:rFonts w:cstheme="minorHAnsi"/>
          <w:color w:val="auto"/>
          <w:sz w:val="22"/>
          <w:szCs w:val="22"/>
        </w:rPr>
        <w:t xml:space="preserve"> and Berger hospitals, and managed the intricacies associated with system consolidation.</w:t>
      </w:r>
    </w:p>
    <w:p w14:paraId="2E41E4C8" w14:textId="77777777" w:rsidR="00601520" w:rsidRPr="00651783" w:rsidRDefault="00601520"/>
    <w:sectPr w:rsidR="00601520" w:rsidRPr="00651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83"/>
    <w:rsid w:val="00601520"/>
    <w:rsid w:val="00651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3B68"/>
  <w15:chartTrackingRefBased/>
  <w15:docId w15:val="{F787AD29-F68B-493E-95DC-EAB5F3BE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1783"/>
    <w:rPr>
      <w:b/>
      <w:bCs/>
    </w:rPr>
  </w:style>
  <w:style w:type="paragraph" w:customStyle="1" w:styleId="KPMGResponse">
    <w:name w:val="KPMG Response"/>
    <w:link w:val="KPMGResponseChar"/>
    <w:uiPriority w:val="1"/>
    <w:qFormat/>
    <w:rsid w:val="00651783"/>
    <w:pPr>
      <w:keepLines/>
      <w:pBdr>
        <w:top w:val="single" w:sz="4" w:space="12" w:color="FFC000" w:themeColor="accent4"/>
        <w:bottom w:val="double" w:sz="4" w:space="12" w:color="C00000"/>
      </w:pBdr>
      <w:spacing w:before="120" w:after="240" w:line="240" w:lineRule="auto"/>
    </w:pPr>
    <w:rPr>
      <w:rFonts w:eastAsia="Times New Roman" w:cs="Times New Roman"/>
      <w:color w:val="005EB8"/>
      <w:sz w:val="24"/>
      <w:szCs w:val="24"/>
    </w:rPr>
  </w:style>
  <w:style w:type="character" w:customStyle="1" w:styleId="KPMGResponseChar">
    <w:name w:val="KPMG Response Char"/>
    <w:basedOn w:val="DefaultParagraphFont"/>
    <w:link w:val="KPMGResponse"/>
    <w:uiPriority w:val="1"/>
    <w:rsid w:val="00651783"/>
    <w:rPr>
      <w:rFonts w:eastAsia="Times New Roman" w:cs="Times New Roman"/>
      <w:color w:val="005EB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11" ma:contentTypeDescription="Create a new document." ma:contentTypeScope="" ma:versionID="45828fceac261902b343384bbbe116f2">
  <xsd:schema xmlns:xsd="http://www.w3.org/2001/XMLSchema" xmlns:xs="http://www.w3.org/2001/XMLSchema" xmlns:p="http://schemas.microsoft.com/office/2006/metadata/properties" xmlns:ns2="bb32dd99-58d1-47ef-ae35-48c35f2f6d10" xmlns:ns3="c5f2871a-9e07-480b-afa0-20bd2481d39a" targetNamespace="http://schemas.microsoft.com/office/2006/metadata/properties" ma:root="true" ma:fieldsID="1e66011cc0a9631ff1813902770a911d" ns2:_="" ns3:_="">
    <xsd:import namespace="bb32dd99-58d1-47ef-ae35-48c35f2f6d10"/>
    <xsd:import namespace="c5f2871a-9e07-480b-afa0-20bd2481d3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2871a-9e07-480b-afa0-20bd2481d3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32dd99-58d1-47ef-ae35-48c35f2f6d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B00CCB7-E3E2-42FD-83E2-C76BC1802958}"/>
</file>

<file path=customXml/itemProps2.xml><?xml version="1.0" encoding="utf-8"?>
<ds:datastoreItem xmlns:ds="http://schemas.openxmlformats.org/officeDocument/2006/customXml" ds:itemID="{F36C96B2-2C8B-4B6D-9D6E-131C93AE07BE}"/>
</file>

<file path=customXml/itemProps3.xml><?xml version="1.0" encoding="utf-8"?>
<ds:datastoreItem xmlns:ds="http://schemas.openxmlformats.org/officeDocument/2006/customXml" ds:itemID="{BC6C7A1B-9AF6-4730-9FD7-209AA4C4E432}"/>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 Andy</dc:creator>
  <cp:keywords/>
  <dc:description/>
  <cp:lastModifiedBy>Yam, Andy</cp:lastModifiedBy>
  <cp:revision>1</cp:revision>
  <dcterms:created xsi:type="dcterms:W3CDTF">2023-03-06T19:05:00Z</dcterms:created>
  <dcterms:modified xsi:type="dcterms:W3CDTF">2023-03-06T19:05:00Z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0x0101000686CEC661D2F947A9DF832D171CE252</vt:lpwstr>
  </property>
</Properties>
</file>