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IMAGE</w:t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45720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45720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Assuptions</w:t>
      </w:r>
    </w:p>
    <w:p>
      <w:r>
        <w:rPr>
          <w:b/>
        </w:rPr>
        <w:t>1: Disputes with third parties (editor or other service providers)</w:t>
      </w:r>
    </w:p>
    <w:p>
      <w:r>
        <w:rPr>
          <w:b/>
        </w:rPr>
        <w:t>2: Inadequate decision-making process</w:t>
      </w:r>
    </w:p>
    <w:p>
      <w:r>
        <w:rPr>
          <w:b/>
        </w:rPr>
        <w:t>3: Lack of action plan and decision monitoring</w:t>
      </w:r>
    </w:p>
    <w:p>
      <w:pPr>
        <w:pStyle w:val="Title"/>
      </w:pPr>
      <w:r>
        <w:t>Key Consideration And Risk</w:t>
      </w:r>
    </w:p>
    <w:p>
      <w:r>
        <w:rPr>
          <w:b/>
        </w:rPr>
        <w:t>1: The proposed Go-Live date assumes that KPMG commences this SOW (project start date) on [CURR_DATE]. If the project start date is beyond this date, then the proposed project schedule will shift by an equivalent number of business days. The project will close for a two (3) week period over any Christmas and New Year holiday period.</w:t>
      </w:r>
    </w:p>
    <w:p>
      <w:r>
        <w:rPr>
          <w:b/>
        </w:rPr>
        <w:t>2: The main project team is located at the [CLIENT_NAME]’s in Perth, and KPMG team members are assumed to work from this same location. KPMG’s onshore team may work remotely or from KPMG’s Melbourne or Sydney office location where on-site workspaces are limited or services do not require on-site presence. KPMG’s offshore team is assumed to work from KPMG’s offshore project location. KPMG assumes that there will be no commuting to other project sites.</w:t>
      </w:r>
    </w:p>
    <w:p>
      <w:r>
        <w:rPr>
          <w:b/>
        </w:rPr>
        <w:t>3: KPMG assumes the provision of adequate on-site workspace/desks, necessary equipment, and facilities at the Project Site for KPMG resources to perform onshore project activities.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