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DF240" w14:textId="77777777" w:rsidR="00F101F7" w:rsidRPr="00F101F7" w:rsidRDefault="00F101F7" w:rsidP="00F101F7">
      <w:pPr>
        <w:pStyle w:val="BodyText"/>
        <w:rPr>
          <w:rFonts w:asciiTheme="minorHAnsi" w:hAnsiTheme="minorHAnsi" w:cstheme="minorHAnsi"/>
        </w:rPr>
      </w:pPr>
      <w:r w:rsidRPr="00F101F7">
        <w:rPr>
          <w:rFonts w:asciiTheme="minorHAnsi" w:hAnsiTheme="minorHAnsi" w:cstheme="minorHAnsi"/>
        </w:rPr>
        <w:t>A detailed breakdown of key activities of each stage for the transition phase is provided below.</w:t>
      </w:r>
    </w:p>
    <w:p w14:paraId="0C435F97" w14:textId="634FCEF8" w:rsidR="00F101F7" w:rsidRPr="00F101F7" w:rsidRDefault="00F101F7" w:rsidP="00F101F7">
      <w:pPr>
        <w:pStyle w:val="Caption"/>
        <w:rPr>
          <w:rFonts w:asciiTheme="minorHAnsi" w:hAnsiTheme="minorHAnsi" w:cstheme="minorHAnsi"/>
        </w:rPr>
      </w:pPr>
    </w:p>
    <w:tbl>
      <w:tblPr>
        <w:tblStyle w:val="Table2-KPMGBlue"/>
        <w:tblW w:w="9639" w:type="dxa"/>
        <w:tblLook w:val="0020" w:firstRow="1" w:lastRow="0" w:firstColumn="0" w:lastColumn="0" w:noHBand="0" w:noVBand="0"/>
        <w:tblCaption w:val="Table_1"/>
      </w:tblPr>
      <w:tblGrid>
        <w:gridCol w:w="3213"/>
        <w:gridCol w:w="3212"/>
        <w:gridCol w:w="3214"/>
      </w:tblGrid>
      <w:tr w:rsidR="00F101F7" w:rsidRPr="00F101F7" w14:paraId="610A679D" w14:textId="77777777" w:rsidTr="00040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tblHeader w:val="0"/>
        </w:trPr>
        <w:tc>
          <w:tcPr>
            <w:tcW w:w="1667" w:type="pct"/>
            <w:tcBorders>
              <w:right w:val="none" w:sz="0" w:space="0" w:color="auto"/>
            </w:tcBorders>
            <w:vAlign w:val="top"/>
          </w:tcPr>
          <w:p w14:paraId="0FB6CB45" w14:textId="77777777" w:rsidR="00F101F7" w:rsidRPr="00F101F7" w:rsidRDefault="00F101F7" w:rsidP="000405D9">
            <w:pPr>
              <w:pStyle w:val="TableHeading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STAGE 1: PLAN</w:t>
            </w:r>
          </w:p>
        </w:tc>
        <w:tc>
          <w:tcPr>
            <w:tcW w:w="1666" w:type="pct"/>
            <w:tcBorders>
              <w:left w:val="none" w:sz="0" w:space="0" w:color="auto"/>
              <w:right w:val="none" w:sz="0" w:space="0" w:color="auto"/>
            </w:tcBorders>
            <w:vAlign w:val="top"/>
          </w:tcPr>
          <w:p w14:paraId="72A0DE5F" w14:textId="77777777" w:rsidR="00F101F7" w:rsidRPr="00F101F7" w:rsidRDefault="00F101F7" w:rsidP="000405D9">
            <w:pPr>
              <w:pStyle w:val="TableHeading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STAGE 2: EXECUTE</w:t>
            </w:r>
          </w:p>
        </w:tc>
        <w:tc>
          <w:tcPr>
            <w:tcW w:w="1667" w:type="pct"/>
            <w:tcBorders>
              <w:left w:val="none" w:sz="0" w:space="0" w:color="auto"/>
            </w:tcBorders>
            <w:vAlign w:val="top"/>
          </w:tcPr>
          <w:p w14:paraId="207FC738" w14:textId="77777777" w:rsidR="00F101F7" w:rsidRPr="00F101F7" w:rsidRDefault="00F101F7" w:rsidP="000405D9">
            <w:pPr>
              <w:pStyle w:val="TableHeading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STAGE 3: OPERATE</w:t>
            </w:r>
          </w:p>
        </w:tc>
      </w:tr>
      <w:tr w:rsidR="00F101F7" w:rsidRPr="00F101F7" w14:paraId="230751C3" w14:textId="77777777" w:rsidTr="000405D9">
        <w:trPr>
          <w:trHeight w:val="553"/>
        </w:trPr>
        <w:tc>
          <w:tcPr>
            <w:tcW w:w="1667" w:type="pct"/>
            <w:vAlign w:val="bottom"/>
          </w:tcPr>
          <w:p w14:paraId="6735DBAF" w14:textId="77777777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 w:rsidRPr="00F101F7">
              <w:rPr>
                <w:rStyle w:val="Emphasis"/>
                <w:rFonts w:asciiTheme="minorHAnsi" w:hAnsiTheme="minorHAnsi" w:cstheme="minorHAnsi"/>
              </w:rPr>
              <w:t>On-board support resources, data gathering and establish governance plan</w:t>
            </w:r>
          </w:p>
        </w:tc>
        <w:tc>
          <w:tcPr>
            <w:tcW w:w="1666" w:type="pct"/>
            <w:vAlign w:val="bottom"/>
          </w:tcPr>
          <w:p w14:paraId="1839A6C3" w14:textId="77777777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 w:rsidRPr="00F101F7">
              <w:rPr>
                <w:rStyle w:val="Emphasis"/>
                <w:rFonts w:asciiTheme="minorHAnsi" w:hAnsiTheme="minorHAnsi" w:cstheme="minorHAnsi"/>
              </w:rPr>
              <w:t>Issue access requests, conduct process and documentation review conduct knowledge transfer, conduct training as necessary and review backlog of enhancements</w:t>
            </w:r>
          </w:p>
        </w:tc>
        <w:tc>
          <w:tcPr>
            <w:tcW w:w="1667" w:type="pct"/>
            <w:vAlign w:val="bottom"/>
          </w:tcPr>
          <w:p w14:paraId="76BF46AD" w14:textId="77777777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 w:rsidRPr="00F101F7">
              <w:rPr>
                <w:rStyle w:val="Emphasis"/>
                <w:rFonts w:asciiTheme="minorHAnsi" w:hAnsiTheme="minorHAnsi" w:cstheme="minorHAnsi"/>
              </w:rPr>
              <w:t>Go-Live with AMS (support). Business-as-usual support for the new operating environment, including defined operational metrics and reporting</w:t>
            </w:r>
          </w:p>
        </w:tc>
      </w:tr>
      <w:tr w:rsidR="00F101F7" w:rsidRPr="00F101F7" w14:paraId="1C819D81" w14:textId="77777777" w:rsidTr="000405D9">
        <w:trPr>
          <w:trHeight w:val="218"/>
        </w:trPr>
        <w:tc>
          <w:tcPr>
            <w:tcW w:w="1667" w:type="pct"/>
          </w:tcPr>
          <w:p w14:paraId="6AD86381" w14:textId="77777777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 w:rsidRPr="00F101F7">
              <w:rPr>
                <w:rStyle w:val="Emphasis"/>
                <w:rFonts w:asciiTheme="minorHAnsi" w:hAnsiTheme="minorHAnsi" w:cstheme="minorHAnsi"/>
              </w:rPr>
              <w:t>Typical duration: 1 week</w:t>
            </w:r>
          </w:p>
        </w:tc>
        <w:tc>
          <w:tcPr>
            <w:tcW w:w="1666" w:type="pct"/>
          </w:tcPr>
          <w:p w14:paraId="0A6E3883" w14:textId="77777777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 w:rsidRPr="00F101F7">
              <w:rPr>
                <w:rStyle w:val="Emphasis"/>
                <w:rFonts w:asciiTheme="minorHAnsi" w:hAnsiTheme="minorHAnsi" w:cstheme="minorHAnsi"/>
              </w:rPr>
              <w:t>Typical duration: 6 weeks</w:t>
            </w:r>
          </w:p>
        </w:tc>
        <w:tc>
          <w:tcPr>
            <w:tcW w:w="1667" w:type="pct"/>
          </w:tcPr>
          <w:p w14:paraId="417ABBC0" w14:textId="77777777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 w:rsidRPr="00F101F7">
              <w:rPr>
                <w:rStyle w:val="Emphasis"/>
                <w:rFonts w:asciiTheme="minorHAnsi" w:hAnsiTheme="minorHAnsi" w:cstheme="minorHAnsi"/>
              </w:rPr>
              <w:t>Typical duration: 4 weeks</w:t>
            </w:r>
          </w:p>
        </w:tc>
      </w:tr>
      <w:tr w:rsidR="00F101F7" w:rsidRPr="00F101F7" w14:paraId="61A4C429" w14:textId="77777777" w:rsidTr="000405D9">
        <w:tc>
          <w:tcPr>
            <w:tcW w:w="1667" w:type="pct"/>
          </w:tcPr>
          <w:p w14:paraId="33840ECB" w14:textId="77777777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 w:rsidRPr="00F101F7">
              <w:rPr>
                <w:rStyle w:val="Emphasis"/>
                <w:rFonts w:asciiTheme="minorHAnsi" w:hAnsiTheme="minorHAnsi" w:cstheme="minorHAnsi"/>
              </w:rPr>
              <w:t>KPMG</w:t>
            </w:r>
          </w:p>
          <w:p w14:paraId="6C384CAC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Create a Transition plan.</w:t>
            </w:r>
          </w:p>
          <w:p w14:paraId="46E254E6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Identify and on-board the team.</w:t>
            </w:r>
          </w:p>
          <w:p w14:paraId="73DFE37A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Define roles and responsibilities.</w:t>
            </w:r>
          </w:p>
          <w:p w14:paraId="6F26BD0C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Request for most up-to-date implementation artefacts.</w:t>
            </w:r>
          </w:p>
          <w:p w14:paraId="3C2F6DC5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Create Governance Plan.</w:t>
            </w:r>
          </w:p>
          <w:p w14:paraId="0292F483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Review Client Change Management Process.</w:t>
            </w:r>
          </w:p>
          <w:p w14:paraId="5ABB062D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Review Service Management Tool to understand the profile of service.</w:t>
            </w:r>
          </w:p>
          <w:p w14:paraId="53E8DC38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Create and handover/Readiness Checklist.</w:t>
            </w:r>
          </w:p>
        </w:tc>
        <w:tc>
          <w:tcPr>
            <w:tcW w:w="1666" w:type="pct"/>
          </w:tcPr>
          <w:p w14:paraId="27552218" w14:textId="77777777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 w:rsidRPr="00F101F7">
              <w:rPr>
                <w:rStyle w:val="Emphasis"/>
                <w:rFonts w:asciiTheme="minorHAnsi" w:hAnsiTheme="minorHAnsi" w:cstheme="minorHAnsi"/>
              </w:rPr>
              <w:t>KPMG</w:t>
            </w:r>
          </w:p>
          <w:p w14:paraId="0809ACB8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Conduct overview of KPMG service management tools.</w:t>
            </w:r>
          </w:p>
          <w:p w14:paraId="7633B295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Validate/Define core ITIL processes and release schedule.</w:t>
            </w:r>
          </w:p>
          <w:p w14:paraId="3856F09F" w14:textId="27841963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 xml:space="preserve">Work with </w:t>
            </w:r>
            <w:r>
              <w:rPr>
                <w:rFonts w:asciiTheme="minorHAnsi" w:hAnsiTheme="minorHAnsi" w:cstheme="minorHAnsi"/>
              </w:rPr>
              <w:t>[Client]</w:t>
            </w:r>
            <w:r w:rsidRPr="00F101F7">
              <w:rPr>
                <w:rFonts w:asciiTheme="minorHAnsi" w:hAnsiTheme="minorHAnsi" w:cstheme="minorHAnsi"/>
              </w:rPr>
              <w:t xml:space="preserve"> to configure processes and templates within </w:t>
            </w:r>
            <w:r>
              <w:rPr>
                <w:rFonts w:asciiTheme="minorHAnsi" w:hAnsiTheme="minorHAnsi" w:cstheme="minorHAnsi"/>
              </w:rPr>
              <w:t>[Client]</w:t>
            </w:r>
            <w:r>
              <w:rPr>
                <w:rFonts w:asciiTheme="minorHAnsi" w:hAnsiTheme="minorHAnsi" w:cstheme="minorHAnsi"/>
              </w:rPr>
              <w:t>’s</w:t>
            </w:r>
            <w:r w:rsidRPr="00F101F7">
              <w:rPr>
                <w:rFonts w:asciiTheme="minorHAnsi" w:hAnsiTheme="minorHAnsi" w:cstheme="minorHAnsi"/>
              </w:rPr>
              <w:t xml:space="preserve"> Service Management tool.</w:t>
            </w:r>
          </w:p>
          <w:p w14:paraId="7A59CC37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Develop and execute on knowledge acquisition plan.</w:t>
            </w:r>
          </w:p>
          <w:p w14:paraId="61FC4C9E" w14:textId="5D284724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 xml:space="preserve">Participate in </w:t>
            </w:r>
            <w:r>
              <w:rPr>
                <w:rFonts w:asciiTheme="minorHAnsi" w:hAnsiTheme="minorHAnsi" w:cstheme="minorHAnsi"/>
              </w:rPr>
              <w:t>[Client]</w:t>
            </w:r>
            <w:r>
              <w:rPr>
                <w:rFonts w:asciiTheme="minorHAnsi" w:hAnsiTheme="minorHAnsi" w:cstheme="minorHAnsi"/>
              </w:rPr>
              <w:t>’s</w:t>
            </w:r>
            <w:r w:rsidRPr="00F101F7">
              <w:rPr>
                <w:rFonts w:asciiTheme="minorHAnsi" w:hAnsiTheme="minorHAnsi" w:cstheme="minorHAnsi"/>
              </w:rPr>
              <w:t xml:space="preserve"> triage of defects/change requests.</w:t>
            </w:r>
          </w:p>
          <w:p w14:paraId="2714464E" w14:textId="0214B6C5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 xml:space="preserve">Finalise and prioritise backlog of enhancements with </w:t>
            </w:r>
            <w:r>
              <w:rPr>
                <w:rFonts w:asciiTheme="minorHAnsi" w:hAnsiTheme="minorHAnsi" w:cstheme="minorHAnsi"/>
              </w:rPr>
              <w:t>[Client]</w:t>
            </w:r>
            <w:r w:rsidRPr="00F101F7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667" w:type="pct"/>
          </w:tcPr>
          <w:p w14:paraId="4FD9F04F" w14:textId="77777777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 w:rsidRPr="00F101F7">
              <w:rPr>
                <w:rStyle w:val="Emphasis"/>
                <w:rFonts w:asciiTheme="minorHAnsi" w:hAnsiTheme="minorHAnsi" w:cstheme="minorHAnsi"/>
              </w:rPr>
              <w:t>KPMG</w:t>
            </w:r>
          </w:p>
          <w:p w14:paraId="76E4D598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Obtain Go/No-Go for Steady-State Support.</w:t>
            </w:r>
          </w:p>
          <w:p w14:paraId="43E332B0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Develop and provide service performance scorecard.</w:t>
            </w:r>
          </w:p>
          <w:p w14:paraId="7E1C572F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Maintain and review issues log and risk mitigation.</w:t>
            </w:r>
          </w:p>
          <w:p w14:paraId="2049B0B2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Review and update release schedule, priorities, and change requests.</w:t>
            </w:r>
          </w:p>
          <w:p w14:paraId="460C51A3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Conduct on-going analysis of operations and assess improvement and innovation opportunities as well as lessons learned.</w:t>
            </w:r>
          </w:p>
        </w:tc>
      </w:tr>
      <w:tr w:rsidR="00F101F7" w:rsidRPr="00F101F7" w14:paraId="5AED6A5F" w14:textId="77777777" w:rsidTr="000405D9">
        <w:tc>
          <w:tcPr>
            <w:tcW w:w="1667" w:type="pct"/>
          </w:tcPr>
          <w:p w14:paraId="090652F5" w14:textId="06C7436E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>
              <w:rPr>
                <w:rStyle w:val="Emphasis"/>
                <w:rFonts w:asciiTheme="minorHAnsi" w:hAnsiTheme="minorHAnsi" w:cstheme="minorHAnsi"/>
              </w:rPr>
              <w:t>[</w:t>
            </w:r>
            <w:r>
              <w:rPr>
                <w:rStyle w:val="Emphasis"/>
                <w:rFonts w:cstheme="minorHAnsi"/>
              </w:rPr>
              <w:t>Client]</w:t>
            </w:r>
          </w:p>
          <w:p w14:paraId="52A9305C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Review and provide input into our Transition plan.</w:t>
            </w:r>
          </w:p>
          <w:p w14:paraId="3FB10B78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Provide access to mobilised KPMG team, including relevant artefact requests.</w:t>
            </w:r>
          </w:p>
          <w:p w14:paraId="0611D077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Work with KPMG to finalise the Governance Plan.</w:t>
            </w:r>
          </w:p>
          <w:p w14:paraId="74771ED9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Provide input into KPMGs Steady-State Readiness Checklist.</w:t>
            </w:r>
          </w:p>
        </w:tc>
        <w:tc>
          <w:tcPr>
            <w:tcW w:w="1666" w:type="pct"/>
          </w:tcPr>
          <w:p w14:paraId="18E75ED3" w14:textId="35FF912D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>
              <w:rPr>
                <w:rStyle w:val="Emphasis"/>
                <w:rFonts w:asciiTheme="minorHAnsi" w:hAnsiTheme="minorHAnsi" w:cstheme="minorHAnsi"/>
              </w:rPr>
              <w:t>[Client]</w:t>
            </w:r>
          </w:p>
          <w:p w14:paraId="7F2D7F05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Attend KPMG service management tools training.</w:t>
            </w:r>
          </w:p>
          <w:p w14:paraId="0F6ECFC4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Work with KPMG to improve existing ITIL processes.</w:t>
            </w:r>
          </w:p>
          <w:p w14:paraId="292549E0" w14:textId="3DB7255D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 xml:space="preserve">Configure </w:t>
            </w:r>
            <w:r>
              <w:rPr>
                <w:rFonts w:asciiTheme="minorHAnsi" w:hAnsiTheme="minorHAnsi" w:cstheme="minorHAnsi"/>
              </w:rPr>
              <w:t>[Client]</w:t>
            </w:r>
            <w:r>
              <w:rPr>
                <w:rFonts w:asciiTheme="minorHAnsi" w:hAnsiTheme="minorHAnsi" w:cstheme="minorHAnsi"/>
              </w:rPr>
              <w:t>’</w:t>
            </w:r>
            <w:r>
              <w:t>s</w:t>
            </w:r>
            <w:r w:rsidRPr="00F101F7">
              <w:rPr>
                <w:rFonts w:asciiTheme="minorHAnsi" w:hAnsiTheme="minorHAnsi" w:cstheme="minorHAnsi"/>
              </w:rPr>
              <w:t xml:space="preserve"> Service Management instance as required.</w:t>
            </w:r>
          </w:p>
          <w:p w14:paraId="168FEEA5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Approve Governance Plan.</w:t>
            </w:r>
          </w:p>
          <w:p w14:paraId="2AC2E25F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lastRenderedPageBreak/>
              <w:t>Provide knowledge transfer sessions to KPMG resources.</w:t>
            </w:r>
          </w:p>
        </w:tc>
        <w:tc>
          <w:tcPr>
            <w:tcW w:w="1667" w:type="pct"/>
          </w:tcPr>
          <w:p w14:paraId="1173135B" w14:textId="1977AAF9" w:rsidR="00F101F7" w:rsidRPr="00F101F7" w:rsidRDefault="00F101F7" w:rsidP="000405D9">
            <w:pPr>
              <w:pStyle w:val="BodyText"/>
              <w:rPr>
                <w:rStyle w:val="Emphasis"/>
                <w:rFonts w:asciiTheme="minorHAnsi" w:hAnsiTheme="minorHAnsi" w:cstheme="minorHAnsi"/>
              </w:rPr>
            </w:pPr>
            <w:r>
              <w:rPr>
                <w:rStyle w:val="Emphasis"/>
                <w:rFonts w:asciiTheme="minorHAnsi" w:hAnsiTheme="minorHAnsi" w:cstheme="minorHAnsi"/>
              </w:rPr>
              <w:lastRenderedPageBreak/>
              <w:t>[Client]</w:t>
            </w:r>
          </w:p>
          <w:p w14:paraId="06BA506C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Provide Go/No-Go for Steady-State Support.</w:t>
            </w:r>
          </w:p>
          <w:p w14:paraId="34ABE1DA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Review and update release schedule, priorities, and change requests.</w:t>
            </w:r>
          </w:p>
          <w:p w14:paraId="41043EE3" w14:textId="77777777" w:rsidR="00F101F7" w:rsidRPr="00F101F7" w:rsidRDefault="00F101F7" w:rsidP="00F101F7">
            <w:pPr>
              <w:pStyle w:val="ListBullet"/>
              <w:rPr>
                <w:rFonts w:asciiTheme="minorHAnsi" w:hAnsiTheme="minorHAnsi" w:cstheme="minorHAnsi"/>
              </w:rPr>
            </w:pPr>
            <w:r w:rsidRPr="00F101F7">
              <w:rPr>
                <w:rFonts w:asciiTheme="minorHAnsi" w:hAnsiTheme="minorHAnsi" w:cstheme="minorHAnsi"/>
              </w:rPr>
              <w:t>Interact with KPMG as required for incident and enhancement requests.</w:t>
            </w:r>
          </w:p>
        </w:tc>
      </w:tr>
    </w:tbl>
    <w:p w14:paraId="0EA1C21F" w14:textId="77777777" w:rsidR="00A251B2" w:rsidRPr="00F101F7" w:rsidRDefault="00A251B2">
      <w:pPr>
        <w:rPr>
          <w:rFonts w:asciiTheme="minorHAnsi" w:hAnsiTheme="minorHAnsi" w:cstheme="minorHAnsi"/>
        </w:rPr>
      </w:pPr>
    </w:p>
    <w:sectPr w:rsidR="00A251B2" w:rsidRPr="00F1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E1236"/>
    <w:multiLevelType w:val="multilevel"/>
    <w:tmpl w:val="F1281A3E"/>
    <w:styleLink w:val="KPMGBulletList"/>
    <w:lvl w:ilvl="0">
      <w:start w:val="1"/>
      <w:numFmt w:val="bullet"/>
      <w:pStyle w:val="ListBullet"/>
      <w:lvlText w:val=""/>
      <w:lvlJc w:val="left"/>
      <w:pPr>
        <w:ind w:left="360" w:hanging="360"/>
      </w:pPr>
      <w:rPr>
        <w:rFonts w:ascii="Wingdings" w:hAnsi="Wingdings"/>
        <w:b w:val="0"/>
        <w:i w:val="0"/>
        <w:color w:val="auto"/>
        <w:sz w:val="18"/>
      </w:rPr>
    </w:lvl>
    <w:lvl w:ilvl="1">
      <w:start w:val="1"/>
      <w:numFmt w:val="bullet"/>
      <w:pStyle w:val="ListBullet2"/>
      <w:lvlText w:val=""/>
      <w:lvlJc w:val="left"/>
      <w:pPr>
        <w:ind w:left="720" w:hanging="360"/>
      </w:pPr>
      <w:rPr>
        <w:rFonts w:ascii="Wingdings" w:hAnsi="Wingdings" w:hint="default"/>
        <w:b w:val="0"/>
        <w:i w:val="0"/>
        <w:sz w:val="18"/>
      </w:rPr>
    </w:lvl>
    <w:lvl w:ilvl="2">
      <w:start w:val="1"/>
      <w:numFmt w:val="bullet"/>
      <w:pStyle w:val="ListBullet3"/>
      <w:lvlText w:val=""/>
      <w:lvlJc w:val="left"/>
      <w:pPr>
        <w:ind w:left="1080" w:hanging="360"/>
      </w:pPr>
      <w:rPr>
        <w:rFonts w:ascii="Wingdings" w:hAnsi="Wingdings" w:hint="default"/>
        <w:b w:val="0"/>
        <w:i w:val="0"/>
        <w:sz w:val="18"/>
      </w:rPr>
    </w:lvl>
    <w:lvl w:ilvl="3">
      <w:start w:val="1"/>
      <w:numFmt w:val="bullet"/>
      <w:pStyle w:val="ListBullet4"/>
      <w:lvlText w:val=""/>
      <w:lvlJc w:val="left"/>
      <w:pPr>
        <w:ind w:left="357" w:hanging="357"/>
      </w:pPr>
      <w:rPr>
        <w:rFonts w:ascii="Wingdings" w:hAnsi="Wingdings" w:hint="default"/>
        <w:b w:val="0"/>
        <w:i w:val="0"/>
        <w:sz w:val="18"/>
      </w:rPr>
    </w:lvl>
    <w:lvl w:ilvl="4">
      <w:start w:val="1"/>
      <w:numFmt w:val="bullet"/>
      <w:pStyle w:val="ListBullet5"/>
      <w:lvlText w:val=""/>
      <w:lvlJc w:val="left"/>
      <w:pPr>
        <w:ind w:left="720" w:hanging="363"/>
      </w:pPr>
      <w:rPr>
        <w:rFonts w:ascii="Wingdings" w:hAnsi="Wingdings" w:hint="default"/>
        <w:b w:val="0"/>
        <w:i w:val="0"/>
        <w:sz w:val="18"/>
      </w:rPr>
    </w:lvl>
    <w:lvl w:ilvl="5">
      <w:start w:val="1"/>
      <w:numFmt w:val="bullet"/>
      <w:pStyle w:val="ListBullet6"/>
      <w:lvlText w:val=""/>
      <w:lvlJc w:val="left"/>
      <w:pPr>
        <w:ind w:left="1077" w:hanging="357"/>
      </w:pPr>
      <w:rPr>
        <w:rFonts w:ascii="Wingdings 3" w:hAnsi="Wingdings 3" w:hint="default"/>
        <w:b w:val="0"/>
        <w:i w:val="0"/>
        <w:sz w:val="18"/>
      </w:rPr>
    </w:lvl>
    <w:lvl w:ilvl="6">
      <w:start w:val="1"/>
      <w:numFmt w:val="bullet"/>
      <w:pStyle w:val="ListBullet7"/>
      <w:lvlText w:val=""/>
      <w:lvlJc w:val="left"/>
      <w:pPr>
        <w:ind w:left="357" w:hanging="357"/>
      </w:pPr>
      <w:rPr>
        <w:rFonts w:ascii="Wingdings" w:hAnsi="Wingdings" w:hint="default"/>
        <w:b w:val="0"/>
        <w:i w:val="0"/>
        <w:sz w:val="18"/>
      </w:rPr>
    </w:lvl>
    <w:lvl w:ilvl="7">
      <w:start w:val="1"/>
      <w:numFmt w:val="bullet"/>
      <w:pStyle w:val="ListBullet8"/>
      <w:lvlText w:val=""/>
      <w:lvlJc w:val="left"/>
      <w:pPr>
        <w:ind w:left="720" w:hanging="363"/>
      </w:pPr>
      <w:rPr>
        <w:rFonts w:ascii="Wingdings 2" w:hAnsi="Wingdings 2" w:hint="default"/>
        <w:b w:val="0"/>
        <w:i w:val="0"/>
        <w:sz w:val="18"/>
      </w:rPr>
    </w:lvl>
    <w:lvl w:ilvl="8">
      <w:start w:val="1"/>
      <w:numFmt w:val="bullet"/>
      <w:pStyle w:val="ListBullet9"/>
      <w:lvlText w:val=""/>
      <w:lvlJc w:val="left"/>
      <w:pPr>
        <w:ind w:left="1077" w:hanging="357"/>
      </w:pPr>
      <w:rPr>
        <w:rFonts w:ascii="Wingdings" w:hAnsi="Wingdings" w:hint="default"/>
        <w:b w:val="0"/>
        <w:i w:val="0"/>
        <w:sz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F7"/>
    <w:rsid w:val="004414C9"/>
    <w:rsid w:val="00537CC0"/>
    <w:rsid w:val="006E5CFC"/>
    <w:rsid w:val="00A251B2"/>
    <w:rsid w:val="00F1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DAA83"/>
  <w15:chartTrackingRefBased/>
  <w15:docId w15:val="{45CED09A-69DB-43BA-BFC0-F0438D65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6" w:unhideWhenUsed="1" w:qFormat="1"/>
    <w:lsdException w:name="List Bullet 3" w:semiHidden="1" w:uiPriority="6" w:unhideWhenUsed="1" w:qFormat="1"/>
    <w:lsdException w:name="List Bullet 4" w:semiHidden="1" w:uiPriority="6" w:unhideWhenUsed="1"/>
    <w:lsdException w:name="List Bullet 5" w:semiHidden="1" w:uiPriority="6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101F7"/>
    <w:pPr>
      <w:spacing w:before="180" w:after="120" w:line="260" w:lineRule="exact"/>
    </w:pPr>
    <w:rPr>
      <w:rFonts w:ascii="Arial" w:hAnsi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101F7"/>
    <w:pPr>
      <w:spacing w:line="260" w:lineRule="atLeast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F101F7"/>
    <w:rPr>
      <w:rFonts w:ascii="Arial" w:hAnsi="Arial"/>
      <w:szCs w:val="20"/>
      <w:lang w:val="en-GB"/>
    </w:rPr>
  </w:style>
  <w:style w:type="paragraph" w:styleId="ListBullet">
    <w:name w:val="List Bullet"/>
    <w:basedOn w:val="ListParagraph"/>
    <w:uiPriority w:val="6"/>
    <w:qFormat/>
    <w:rsid w:val="00F101F7"/>
    <w:pPr>
      <w:numPr>
        <w:numId w:val="1"/>
      </w:numPr>
      <w:ind w:left="357" w:hanging="357"/>
      <w:contextualSpacing w:val="0"/>
    </w:pPr>
    <w:rPr>
      <w:szCs w:val="20"/>
    </w:rPr>
  </w:style>
  <w:style w:type="paragraph" w:styleId="ListBullet2">
    <w:name w:val="List Bullet 2"/>
    <w:basedOn w:val="BodyText"/>
    <w:uiPriority w:val="6"/>
    <w:qFormat/>
    <w:rsid w:val="00F101F7"/>
    <w:pPr>
      <w:numPr>
        <w:ilvl w:val="1"/>
        <w:numId w:val="1"/>
      </w:numPr>
      <w:ind w:left="714" w:hanging="357"/>
      <w:contextualSpacing/>
    </w:pPr>
  </w:style>
  <w:style w:type="paragraph" w:styleId="ListBullet3">
    <w:name w:val="List Bullet 3"/>
    <w:basedOn w:val="BodyText"/>
    <w:uiPriority w:val="6"/>
    <w:qFormat/>
    <w:rsid w:val="00F101F7"/>
    <w:pPr>
      <w:numPr>
        <w:ilvl w:val="2"/>
        <w:numId w:val="1"/>
      </w:numPr>
      <w:ind w:left="1077" w:hanging="357"/>
      <w:contextualSpacing/>
    </w:pPr>
  </w:style>
  <w:style w:type="paragraph" w:styleId="ListBullet4">
    <w:name w:val="List Bullet 4"/>
    <w:basedOn w:val="BodyText"/>
    <w:uiPriority w:val="6"/>
    <w:rsid w:val="00F101F7"/>
    <w:pPr>
      <w:numPr>
        <w:ilvl w:val="3"/>
        <w:numId w:val="1"/>
      </w:numPr>
    </w:pPr>
  </w:style>
  <w:style w:type="paragraph" w:styleId="ListBullet5">
    <w:name w:val="List Bullet 5"/>
    <w:basedOn w:val="BodyText"/>
    <w:uiPriority w:val="6"/>
    <w:rsid w:val="00F101F7"/>
    <w:pPr>
      <w:numPr>
        <w:ilvl w:val="4"/>
        <w:numId w:val="1"/>
      </w:numPr>
      <w:contextualSpacing/>
    </w:pPr>
  </w:style>
  <w:style w:type="paragraph" w:styleId="Caption">
    <w:name w:val="caption"/>
    <w:aliases w:val="F2A Caption,O.Caption,MA Caption,Figure caption,AWT Caption,Table Caption,TABLE,Char,BG Caption,Item,caption,c,col bullet,cb,Center Bold,cbbullet,col bulletcsb,u,C2 Col Bullet,6 chart,Center Bcbold,cb 10pt,column bullet,col bullet1,cb1,Chart"/>
    <w:basedOn w:val="BodyText"/>
    <w:next w:val="BlockText"/>
    <w:link w:val="CaptionChar"/>
    <w:uiPriority w:val="10"/>
    <w:rsid w:val="00F101F7"/>
    <w:pPr>
      <w:spacing w:before="40" w:after="40"/>
    </w:pPr>
    <w:rPr>
      <w:b/>
      <w:iCs/>
      <w:color w:val="00338D"/>
      <w:sz w:val="18"/>
      <w:szCs w:val="18"/>
    </w:rPr>
  </w:style>
  <w:style w:type="character" w:styleId="Emphasis">
    <w:name w:val="Emphasis"/>
    <w:basedOn w:val="BodyTextChar"/>
    <w:uiPriority w:val="2"/>
    <w:qFormat/>
    <w:rsid w:val="00F101F7"/>
    <w:rPr>
      <w:rFonts w:ascii="Arial" w:hAnsi="Arial"/>
      <w:b/>
      <w:iCs/>
      <w:sz w:val="22"/>
      <w:szCs w:val="20"/>
      <w:lang w:val="en-GB"/>
    </w:rPr>
  </w:style>
  <w:style w:type="paragraph" w:customStyle="1" w:styleId="ListBullet6">
    <w:name w:val="List Bullet 6"/>
    <w:basedOn w:val="BodyText"/>
    <w:uiPriority w:val="6"/>
    <w:rsid w:val="00F101F7"/>
    <w:pPr>
      <w:numPr>
        <w:ilvl w:val="5"/>
        <w:numId w:val="1"/>
      </w:numPr>
      <w:contextualSpacing/>
    </w:pPr>
  </w:style>
  <w:style w:type="paragraph" w:customStyle="1" w:styleId="ListBullet7">
    <w:name w:val="List Bullet 7"/>
    <w:basedOn w:val="Normal"/>
    <w:uiPriority w:val="6"/>
    <w:rsid w:val="00F101F7"/>
    <w:pPr>
      <w:numPr>
        <w:ilvl w:val="6"/>
        <w:numId w:val="1"/>
      </w:numPr>
    </w:pPr>
  </w:style>
  <w:style w:type="paragraph" w:customStyle="1" w:styleId="ListBullet8">
    <w:name w:val="List Bullet 8"/>
    <w:basedOn w:val="BodyText"/>
    <w:uiPriority w:val="6"/>
    <w:rsid w:val="00F101F7"/>
    <w:pPr>
      <w:numPr>
        <w:ilvl w:val="7"/>
        <w:numId w:val="1"/>
      </w:numPr>
    </w:pPr>
    <w:rPr>
      <w:rFonts w:cs="Arial"/>
    </w:rPr>
  </w:style>
  <w:style w:type="paragraph" w:customStyle="1" w:styleId="ListBullet9">
    <w:name w:val="List Bullet 9"/>
    <w:basedOn w:val="BodyText"/>
    <w:uiPriority w:val="6"/>
    <w:rsid w:val="00F101F7"/>
    <w:pPr>
      <w:numPr>
        <w:ilvl w:val="8"/>
        <w:numId w:val="1"/>
      </w:numPr>
    </w:pPr>
    <w:rPr>
      <w:rFonts w:cs="Arial"/>
    </w:rPr>
  </w:style>
  <w:style w:type="numbering" w:customStyle="1" w:styleId="KPMGBulletList">
    <w:name w:val="KPMG Bullet List"/>
    <w:basedOn w:val="NoList"/>
    <w:uiPriority w:val="99"/>
    <w:rsid w:val="00F101F7"/>
    <w:pPr>
      <w:numPr>
        <w:numId w:val="1"/>
      </w:numPr>
    </w:pPr>
  </w:style>
  <w:style w:type="table" w:customStyle="1" w:styleId="Table2-KPMGBlue">
    <w:name w:val="Table 2-KPMG Blue"/>
    <w:basedOn w:val="TableGrid"/>
    <w:uiPriority w:val="99"/>
    <w:rsid w:val="00F101F7"/>
    <w:rPr>
      <w:rFonts w:ascii="Arial" w:hAnsi="Arial"/>
      <w:lang w:val="en-GB"/>
    </w:rPr>
    <w:tblPr>
      <w:tblBorders>
        <w:top w:val="single" w:sz="4" w:space="0" w:color="00338D"/>
        <w:left w:val="single" w:sz="4" w:space="0" w:color="00338D"/>
        <w:bottom w:val="single" w:sz="4" w:space="0" w:color="00338D"/>
        <w:right w:val="single" w:sz="4" w:space="0" w:color="00338D"/>
        <w:insideH w:val="single" w:sz="4" w:space="0" w:color="00338D"/>
        <w:insideV w:val="single" w:sz="4" w:space="0" w:color="00338D"/>
      </w:tblBorders>
    </w:tblPr>
    <w:tblStylePr w:type="firstRow">
      <w:pPr>
        <w:jc w:val="left"/>
      </w:pPr>
      <w:rPr>
        <w:rFonts w:ascii="Arial" w:hAnsi="Arial"/>
        <w:b/>
        <w:sz w:val="20"/>
      </w:rPr>
      <w:tblPr/>
      <w:trPr>
        <w:tblHeader/>
      </w:trPr>
      <w:tcPr>
        <w:tcBorders>
          <w:insideV w:val="single" w:sz="4" w:space="0" w:color="FFFFFF" w:themeColor="background1"/>
        </w:tcBorders>
        <w:shd w:val="clear" w:color="auto" w:fill="00338D"/>
        <w:vAlign w:val="bottom"/>
      </w:tcPr>
    </w:tblStylePr>
    <w:tblStylePr w:type="lastRow">
      <w:pPr>
        <w:jc w:val="left"/>
      </w:pPr>
      <w:rPr>
        <w:rFonts w:ascii="Arial" w:hAnsi="Arial"/>
        <w:b/>
        <w:sz w:val="20"/>
      </w:rPr>
      <w:tblPr/>
      <w:tcPr>
        <w:vAlign w:val="center"/>
      </w:tcPr>
    </w:tblStylePr>
  </w:style>
  <w:style w:type="character" w:customStyle="1" w:styleId="CaptionChar">
    <w:name w:val="Caption Char"/>
    <w:aliases w:val="F2A Caption Char,O.Caption Char,MA Caption Char,Figure caption Char,AWT Caption Char,Table Caption Char,TABLE Char,Char Char,BG Caption Char,Item Char,caption Char,c Char,col bullet Char,cb Char,Center Bold Char,cbbullet Char,u Char"/>
    <w:basedOn w:val="DefaultParagraphFont"/>
    <w:link w:val="Caption"/>
    <w:uiPriority w:val="10"/>
    <w:rsid w:val="00F101F7"/>
    <w:rPr>
      <w:rFonts w:ascii="Arial" w:hAnsi="Arial"/>
      <w:b/>
      <w:iCs/>
      <w:color w:val="00338D"/>
      <w:sz w:val="18"/>
      <w:szCs w:val="18"/>
      <w:lang w:val="en-GB"/>
    </w:rPr>
  </w:style>
  <w:style w:type="paragraph" w:customStyle="1" w:styleId="TableHeading">
    <w:name w:val="Table Heading"/>
    <w:basedOn w:val="BodyText"/>
    <w:uiPriority w:val="17"/>
    <w:rsid w:val="00F101F7"/>
    <w:pPr>
      <w:spacing w:before="40" w:after="40"/>
    </w:pPr>
    <w:rPr>
      <w:b/>
      <w:color w:val="FFFFFF" w:themeColor="background1"/>
    </w:rPr>
  </w:style>
  <w:style w:type="paragraph" w:styleId="ListParagraph">
    <w:name w:val="List Paragraph"/>
    <w:basedOn w:val="Normal"/>
    <w:uiPriority w:val="34"/>
    <w:qFormat/>
    <w:rsid w:val="00F101F7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F101F7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table" w:styleId="TableGrid">
    <w:name w:val="Table Grid"/>
    <w:basedOn w:val="TableNormal"/>
    <w:uiPriority w:val="39"/>
    <w:rsid w:val="00F10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6CEC661D2F947A9DF832D171CE252" ma:contentTypeVersion="11" ma:contentTypeDescription="Create a new document." ma:contentTypeScope="" ma:versionID="45828fceac261902b343384bbbe116f2">
  <xsd:schema xmlns:xsd="http://www.w3.org/2001/XMLSchema" xmlns:xs="http://www.w3.org/2001/XMLSchema" xmlns:p="http://schemas.microsoft.com/office/2006/metadata/properties" xmlns:ns2="bb32dd99-58d1-47ef-ae35-48c35f2f6d10" xmlns:ns3="c5f2871a-9e07-480b-afa0-20bd2481d39a" targetNamespace="http://schemas.microsoft.com/office/2006/metadata/properties" ma:root="true" ma:fieldsID="1e66011cc0a9631ff1813902770a911d" ns2:_="" ns3:_="">
    <xsd:import namespace="bb32dd99-58d1-47ef-ae35-48c35f2f6d10"/>
    <xsd:import namespace="c5f2871a-9e07-480b-afa0-20bd2481d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32dd99-58d1-47ef-ae35-48c35f2f6d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2871a-9e07-480b-afa0-20bd2481d39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b32dd99-58d1-47ef-ae35-48c35f2f6d1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46DE1AC-A451-4730-8047-F2653DCBEC07}"/>
</file>

<file path=customXml/itemProps2.xml><?xml version="1.0" encoding="utf-8"?>
<ds:datastoreItem xmlns:ds="http://schemas.openxmlformats.org/officeDocument/2006/customXml" ds:itemID="{AF79D44A-26EE-4E30-809E-BF9924A4FA7A}"/>
</file>

<file path=customXml/itemProps3.xml><?xml version="1.0" encoding="utf-8"?>
<ds:datastoreItem xmlns:ds="http://schemas.openxmlformats.org/officeDocument/2006/customXml" ds:itemID="{DB34A16F-6402-4F04-B71C-28404ED39F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Damianakis, Joanna</dc:creator>
  <cp:keywords/>
  <dc:description/>
  <cp:lastModifiedBy>Damianakis, Joanna</cp:lastModifiedBy>
  <cp:revision>1</cp:revision>
  <dcterms:created xsi:type="dcterms:W3CDTF">2023-02-22T00:46:00Z</dcterms:created>
  <dcterms:modified xsi:type="dcterms:W3CDTF">2023-02-22T00:48:00Z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0x0101000686CEC661D2F947A9DF832D171CE252</vt:lpwstr>
  </property>
</Properties>
</file>