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844F" w14:textId="77777777" w:rsidR="004732CB" w:rsidRPr="006E0EF1" w:rsidRDefault="004732CB" w:rsidP="004732CB">
      <w:pPr>
        <w:pStyle w:val="BodyText"/>
        <w:rPr>
          <w:rFonts w:asciiTheme="minorHAnsi" w:hAnsiTheme="minorHAnsi" w:cstheme="minorHAnsi"/>
        </w:rPr>
      </w:pPr>
      <w:r w:rsidRPr="006E0EF1">
        <w:rPr>
          <w:rFonts w:asciiTheme="minorHAnsi" w:hAnsiTheme="minorHAnsi" w:cstheme="minorHAnsi"/>
        </w:rPr>
        <w:t>Our KPMG’s Powered Enterprise | Integration is a detailed transformation framework designed to help organisations overcome the complexities of cloud adoption and unlock data out of legacy applications.</w:t>
      </w:r>
    </w:p>
    <w:p w14:paraId="3E27CBFD" w14:textId="77777777" w:rsidR="004732CB" w:rsidRPr="006E0EF1" w:rsidRDefault="004732CB" w:rsidP="004732CB">
      <w:pPr>
        <w:pStyle w:val="BodyText"/>
        <w:rPr>
          <w:rFonts w:asciiTheme="minorHAnsi" w:hAnsiTheme="minorHAnsi" w:cstheme="minorHAnsi"/>
        </w:rPr>
      </w:pPr>
      <w:r w:rsidRPr="006E0EF1">
        <w:rPr>
          <w:rFonts w:asciiTheme="minorHAnsi" w:hAnsiTheme="minorHAnsi" w:cstheme="minorHAnsi"/>
        </w:rPr>
        <w:t>We help these organisations accelerate the pace of delivering innovation by allowing them to connect front-, middle- and back-office to effectively deliver on ever-increasing customer &amp; user expectations, address operational inefficiencies, and harness the learnings from failing fast and small.</w:t>
      </w:r>
    </w:p>
    <w:p w14:paraId="17C97FAE" w14:textId="77777777" w:rsidR="004732CB" w:rsidRPr="006E0EF1" w:rsidRDefault="004732CB" w:rsidP="004732CB">
      <w:pPr>
        <w:pStyle w:val="BodyText"/>
        <w:rPr>
          <w:rFonts w:asciiTheme="minorHAnsi" w:hAnsiTheme="minorHAnsi" w:cstheme="minorHAnsi"/>
        </w:rPr>
      </w:pPr>
      <w:r w:rsidRPr="006E0EF1">
        <w:rPr>
          <w:rFonts w:asciiTheme="minorHAnsi" w:hAnsiTheme="minorHAnsi" w:cstheme="minorHAnsi"/>
        </w:rPr>
        <w:t>With our framework, we work with organisations in the region to:</w:t>
      </w:r>
    </w:p>
    <w:p w14:paraId="2833F6BA" w14:textId="77777777" w:rsidR="004732CB" w:rsidRPr="006E0EF1" w:rsidRDefault="004732CB" w:rsidP="004732CB">
      <w:pPr>
        <w:pStyle w:val="ListBullet"/>
        <w:rPr>
          <w:rFonts w:asciiTheme="minorHAnsi" w:hAnsiTheme="minorHAnsi" w:cstheme="minorHAnsi"/>
        </w:rPr>
      </w:pPr>
      <w:r w:rsidRPr="006E0EF1">
        <w:rPr>
          <w:rFonts w:asciiTheme="minorHAnsi" w:hAnsiTheme="minorHAnsi" w:cstheme="minorHAnsi"/>
        </w:rPr>
        <w:t>Quickly and efficiently build an appropriate long-term API strategy from inception to execution leveraging leading Integration Platform like MuleSoft.</w:t>
      </w:r>
    </w:p>
    <w:p w14:paraId="6C8D001B" w14:textId="77777777" w:rsidR="004732CB" w:rsidRPr="006E0EF1" w:rsidRDefault="004732CB" w:rsidP="004732CB">
      <w:pPr>
        <w:pStyle w:val="ListBullet"/>
        <w:rPr>
          <w:rFonts w:asciiTheme="minorHAnsi" w:hAnsiTheme="minorHAnsi" w:cstheme="minorHAnsi"/>
        </w:rPr>
      </w:pPr>
      <w:r w:rsidRPr="006E0EF1">
        <w:rPr>
          <w:rFonts w:asciiTheme="minorHAnsi" w:hAnsiTheme="minorHAnsi" w:cstheme="minorHAnsi"/>
        </w:rPr>
        <w:t>Unlock data from legacy systems quickly with our pre-built library of assets for Higher Education.</w:t>
      </w:r>
    </w:p>
    <w:p w14:paraId="7849F109" w14:textId="285C4CEF" w:rsidR="004732CB" w:rsidRPr="006E0EF1" w:rsidRDefault="004732CB" w:rsidP="004732CB">
      <w:pPr>
        <w:pStyle w:val="ListBullet"/>
        <w:rPr>
          <w:rFonts w:asciiTheme="minorHAnsi" w:hAnsiTheme="minorHAnsi" w:cstheme="minorHAnsi"/>
        </w:rPr>
      </w:pPr>
      <w:r w:rsidRPr="006E0EF1">
        <w:rPr>
          <w:rFonts w:asciiTheme="minorHAnsi" w:hAnsiTheme="minorHAnsi" w:cstheme="minorHAnsi"/>
        </w:rPr>
        <w:t xml:space="preserve">Quickly move to the cloud with our </w:t>
      </w:r>
      <w:proofErr w:type="gramStart"/>
      <w:r w:rsidRPr="006E0EF1">
        <w:rPr>
          <w:rFonts w:asciiTheme="minorHAnsi" w:hAnsiTheme="minorHAnsi" w:cstheme="minorHAnsi"/>
        </w:rPr>
        <w:t>Pre-configured</w:t>
      </w:r>
      <w:proofErr w:type="gramEnd"/>
      <w:r w:rsidRPr="006E0EF1">
        <w:rPr>
          <w:rFonts w:asciiTheme="minorHAnsi" w:hAnsiTheme="minorHAnsi" w:cstheme="minorHAnsi"/>
        </w:rPr>
        <w:t xml:space="preserve"> processes for leading cloud solutions (e.g. Workday, ServiceNow, Microsoft, Coupa and SAP).</w:t>
      </w:r>
    </w:p>
    <w:p w14:paraId="78003D98" w14:textId="3C47E914" w:rsidR="006E0EF1" w:rsidRPr="006E0EF1" w:rsidRDefault="006E0EF1" w:rsidP="004732CB">
      <w:pPr>
        <w:pStyle w:val="ListBullet"/>
        <w:rPr>
          <w:rFonts w:asciiTheme="minorHAnsi" w:hAnsiTheme="minorHAnsi" w:cstheme="minorHAnsi"/>
        </w:rPr>
      </w:pPr>
      <w:r w:rsidRPr="006E0EF1">
        <w:rPr>
          <w:rFonts w:asciiTheme="minorHAnsi" w:hAnsiTheme="minorHAnsi" w:cstheme="minorHAnsi"/>
        </w:rPr>
        <w:t>Change the clock speed by adopting future proof DevOps processes and tools built for Mule 4</w:t>
      </w:r>
    </w:p>
    <w:p w14:paraId="6DF95ECF" w14:textId="77777777" w:rsidR="00A251B2" w:rsidRPr="006E0EF1" w:rsidRDefault="00A251B2">
      <w:pPr>
        <w:rPr>
          <w:rFonts w:cstheme="minorHAnsi"/>
        </w:rPr>
      </w:pPr>
    </w:p>
    <w:sectPr w:rsidR="00A251B2" w:rsidRPr="006E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236"/>
    <w:multiLevelType w:val="multilevel"/>
    <w:tmpl w:val="F1281A3E"/>
    <w:styleLink w:val="KPMGBulletList"/>
    <w:lvl w:ilvl="0">
      <w:start w:val="1"/>
      <w:numFmt w:val="bullet"/>
      <w:pStyle w:val="ListBullet"/>
      <w:lvlText w:val=""/>
      <w:lvlJc w:val="left"/>
      <w:pPr>
        <w:ind w:left="360" w:hanging="360"/>
      </w:pPr>
      <w:rPr>
        <w:rFonts w:ascii="Wingdings" w:hAnsi="Wingdings"/>
        <w:b w:val="0"/>
        <w:i w:val="0"/>
        <w:color w:val="auto"/>
        <w:sz w:val="18"/>
      </w:rPr>
    </w:lvl>
    <w:lvl w:ilvl="1">
      <w:start w:val="1"/>
      <w:numFmt w:val="bullet"/>
      <w:pStyle w:val="ListBullet2"/>
      <w:lvlText w:val=""/>
      <w:lvlJc w:val="left"/>
      <w:pPr>
        <w:ind w:left="720" w:hanging="360"/>
      </w:pPr>
      <w:rPr>
        <w:rFonts w:ascii="Wingdings" w:hAnsi="Wingdings" w:hint="default"/>
        <w:b w:val="0"/>
        <w:i w:val="0"/>
        <w:sz w:val="18"/>
      </w:rPr>
    </w:lvl>
    <w:lvl w:ilvl="2">
      <w:start w:val="1"/>
      <w:numFmt w:val="bullet"/>
      <w:pStyle w:val="ListBullet3"/>
      <w:lvlText w:val=""/>
      <w:lvlJc w:val="left"/>
      <w:pPr>
        <w:ind w:left="1080" w:hanging="360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pStyle w:val="ListBullet4"/>
      <w:lvlText w:val="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4">
      <w:start w:val="1"/>
      <w:numFmt w:val="bullet"/>
      <w:pStyle w:val="ListBullet5"/>
      <w:lvlText w:val=""/>
      <w:lvlJc w:val="left"/>
      <w:pPr>
        <w:ind w:left="720" w:hanging="363"/>
      </w:pPr>
      <w:rPr>
        <w:rFonts w:ascii="Wingdings" w:hAnsi="Wingdings" w:hint="default"/>
        <w:b w:val="0"/>
        <w:i w:val="0"/>
        <w:sz w:val="18"/>
      </w:rPr>
    </w:lvl>
    <w:lvl w:ilvl="5">
      <w:start w:val="1"/>
      <w:numFmt w:val="bullet"/>
      <w:pStyle w:val="ListBullet6"/>
      <w:lvlText w:val=""/>
      <w:lvlJc w:val="left"/>
      <w:pPr>
        <w:ind w:left="1077" w:hanging="357"/>
      </w:pPr>
      <w:rPr>
        <w:rFonts w:ascii="Wingdings 3" w:hAnsi="Wingdings 3" w:hint="default"/>
        <w:b w:val="0"/>
        <w:i w:val="0"/>
        <w:sz w:val="18"/>
      </w:rPr>
    </w:lvl>
    <w:lvl w:ilvl="6">
      <w:start w:val="1"/>
      <w:numFmt w:val="bullet"/>
      <w:pStyle w:val="ListBullet7"/>
      <w:lvlText w:val="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7">
      <w:start w:val="1"/>
      <w:numFmt w:val="bullet"/>
      <w:pStyle w:val="ListBullet8"/>
      <w:lvlText w:val=""/>
      <w:lvlJc w:val="left"/>
      <w:pPr>
        <w:ind w:left="720" w:hanging="363"/>
      </w:pPr>
      <w:rPr>
        <w:rFonts w:ascii="Wingdings 2" w:hAnsi="Wingdings 2" w:hint="default"/>
        <w:b w:val="0"/>
        <w:i w:val="0"/>
        <w:sz w:val="18"/>
      </w:rPr>
    </w:lvl>
    <w:lvl w:ilvl="8">
      <w:start w:val="1"/>
      <w:numFmt w:val="bullet"/>
      <w:pStyle w:val="ListBullet9"/>
      <w:lvlText w:val=""/>
      <w:lvlJc w:val="left"/>
      <w:pPr>
        <w:ind w:left="1077" w:hanging="357"/>
      </w:pPr>
      <w:rPr>
        <w:rFonts w:ascii="Wingdings" w:hAnsi="Wingdings" w:hint="default"/>
        <w:b w:val="0"/>
        <w:i w:val="0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CB"/>
    <w:rsid w:val="004414C9"/>
    <w:rsid w:val="004732CB"/>
    <w:rsid w:val="00537CC0"/>
    <w:rsid w:val="006E0EF1"/>
    <w:rsid w:val="006E5CF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0884"/>
  <w15:chartTrackingRefBased/>
  <w15:docId w15:val="{7A1C2AC6-E4CE-4631-9EFF-09E432A4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6" w:unhideWhenUsed="1" w:qFormat="1"/>
    <w:lsdException w:name="List Bullet 3" w:semiHidden="1" w:uiPriority="6" w:unhideWhenUsed="1" w:qFormat="1"/>
    <w:lsdException w:name="List Bullet 4" w:semiHidden="1" w:uiPriority="6" w:unhideWhenUsed="1"/>
    <w:lsdException w:name="List Bullet 5" w:semiHidden="1" w:uiPriority="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32CB"/>
    <w:pPr>
      <w:spacing w:before="180" w:after="120" w:line="260" w:lineRule="atLeast"/>
    </w:pPr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4732CB"/>
    <w:rPr>
      <w:rFonts w:ascii="Arial" w:hAnsi="Arial"/>
      <w:szCs w:val="20"/>
      <w:lang w:val="en-GB"/>
    </w:rPr>
  </w:style>
  <w:style w:type="paragraph" w:styleId="ListBullet">
    <w:name w:val="List Bullet"/>
    <w:basedOn w:val="ListParagraph"/>
    <w:uiPriority w:val="6"/>
    <w:qFormat/>
    <w:rsid w:val="004732CB"/>
    <w:pPr>
      <w:numPr>
        <w:numId w:val="1"/>
      </w:numPr>
      <w:spacing w:before="180" w:after="120" w:line="260" w:lineRule="exact"/>
      <w:ind w:left="357" w:hanging="357"/>
      <w:contextualSpacing w:val="0"/>
    </w:pPr>
    <w:rPr>
      <w:rFonts w:ascii="Arial" w:hAnsi="Arial"/>
      <w:szCs w:val="20"/>
      <w:lang w:val="en-GB"/>
    </w:rPr>
  </w:style>
  <w:style w:type="paragraph" w:styleId="ListBullet2">
    <w:name w:val="List Bullet 2"/>
    <w:basedOn w:val="BodyText"/>
    <w:uiPriority w:val="6"/>
    <w:qFormat/>
    <w:rsid w:val="004732CB"/>
    <w:pPr>
      <w:numPr>
        <w:ilvl w:val="1"/>
        <w:numId w:val="1"/>
      </w:numPr>
      <w:ind w:left="714" w:hanging="357"/>
      <w:contextualSpacing/>
    </w:pPr>
  </w:style>
  <w:style w:type="paragraph" w:styleId="ListBullet3">
    <w:name w:val="List Bullet 3"/>
    <w:basedOn w:val="BodyText"/>
    <w:uiPriority w:val="6"/>
    <w:qFormat/>
    <w:rsid w:val="004732CB"/>
    <w:pPr>
      <w:numPr>
        <w:ilvl w:val="2"/>
        <w:numId w:val="1"/>
      </w:numPr>
      <w:ind w:left="1077" w:hanging="357"/>
      <w:contextualSpacing/>
    </w:pPr>
  </w:style>
  <w:style w:type="paragraph" w:styleId="ListBullet4">
    <w:name w:val="List Bullet 4"/>
    <w:basedOn w:val="BodyText"/>
    <w:uiPriority w:val="6"/>
    <w:rsid w:val="004732CB"/>
    <w:pPr>
      <w:numPr>
        <w:ilvl w:val="3"/>
        <w:numId w:val="1"/>
      </w:numPr>
    </w:pPr>
  </w:style>
  <w:style w:type="paragraph" w:styleId="ListBullet5">
    <w:name w:val="List Bullet 5"/>
    <w:basedOn w:val="BodyText"/>
    <w:uiPriority w:val="6"/>
    <w:rsid w:val="004732CB"/>
    <w:pPr>
      <w:numPr>
        <w:ilvl w:val="4"/>
        <w:numId w:val="1"/>
      </w:numPr>
      <w:contextualSpacing/>
    </w:pPr>
  </w:style>
  <w:style w:type="paragraph" w:customStyle="1" w:styleId="ListBullet6">
    <w:name w:val="List Bullet 6"/>
    <w:basedOn w:val="BodyText"/>
    <w:uiPriority w:val="6"/>
    <w:rsid w:val="004732CB"/>
    <w:pPr>
      <w:numPr>
        <w:ilvl w:val="5"/>
        <w:numId w:val="1"/>
      </w:numPr>
      <w:contextualSpacing/>
    </w:pPr>
  </w:style>
  <w:style w:type="paragraph" w:customStyle="1" w:styleId="ListBullet7">
    <w:name w:val="List Bullet 7"/>
    <w:basedOn w:val="Normal"/>
    <w:uiPriority w:val="6"/>
    <w:rsid w:val="004732CB"/>
    <w:pPr>
      <w:numPr>
        <w:ilvl w:val="6"/>
        <w:numId w:val="1"/>
      </w:numPr>
      <w:spacing w:before="180" w:after="120" w:line="260" w:lineRule="exact"/>
    </w:pPr>
    <w:rPr>
      <w:rFonts w:ascii="Arial" w:hAnsi="Arial"/>
      <w:lang w:val="en-GB"/>
    </w:rPr>
  </w:style>
  <w:style w:type="paragraph" w:customStyle="1" w:styleId="ListBullet8">
    <w:name w:val="List Bullet 8"/>
    <w:basedOn w:val="BodyText"/>
    <w:uiPriority w:val="6"/>
    <w:rsid w:val="004732CB"/>
    <w:pPr>
      <w:numPr>
        <w:ilvl w:val="7"/>
        <w:numId w:val="1"/>
      </w:numPr>
    </w:pPr>
    <w:rPr>
      <w:rFonts w:cs="Arial"/>
    </w:rPr>
  </w:style>
  <w:style w:type="paragraph" w:customStyle="1" w:styleId="ListBullet9">
    <w:name w:val="List Bullet 9"/>
    <w:basedOn w:val="BodyText"/>
    <w:uiPriority w:val="6"/>
    <w:rsid w:val="004732CB"/>
    <w:pPr>
      <w:numPr>
        <w:ilvl w:val="8"/>
        <w:numId w:val="1"/>
      </w:numPr>
    </w:pPr>
    <w:rPr>
      <w:rFonts w:cs="Arial"/>
    </w:rPr>
  </w:style>
  <w:style w:type="numbering" w:customStyle="1" w:styleId="KPMGBulletList">
    <w:name w:val="KPMG Bullet List"/>
    <w:basedOn w:val="NoList"/>
    <w:uiPriority w:val="99"/>
    <w:rsid w:val="004732C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7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C5A6F9-0D15-42B3-BFFE-C5BDF6F65140}"/>
</file>

<file path=customXml/itemProps2.xml><?xml version="1.0" encoding="utf-8"?>
<ds:datastoreItem xmlns:ds="http://schemas.openxmlformats.org/officeDocument/2006/customXml" ds:itemID="{3F22D051-9115-4788-AEEE-AEDEDAC90686}"/>
</file>

<file path=customXml/itemProps3.xml><?xml version="1.0" encoding="utf-8"?>
<ds:datastoreItem xmlns:ds="http://schemas.openxmlformats.org/officeDocument/2006/customXml" ds:itemID="{DD592470-8637-4AEB-8D1C-F1BB3A3250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2</cp:revision>
  <dcterms:created xsi:type="dcterms:W3CDTF">2023-02-21T05:57:00Z</dcterms:created>
  <dcterms:modified xsi:type="dcterms:W3CDTF">2023-02-21T05:58:00Z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