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Are there any changes anticipated in the company’s ownership and/or its structure??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