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QuestionCan the vendor fulfill the university goals and realise expected business benefits while working within known constraints?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