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Provide organisation and insurance details as specified via eProcure Portal?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