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3200" w:hRule="exact"/>
        </w:trPr>
        <w:tc>
          <w:tcPr>
            <w:tcW w:type="dxa" w:w="11906"/>
            <w:tcBorders>
              <w:top w:val="none" w:color="FFFFFF" w:sz="0"/>
              <w:left w:val="none" w:color="FFFFFF" w:sz="0"/>
              <w:bottom w:val="none" w:color="FFFFFF" w:sz="0"/>
              <w:right w:val="none" w:color="FFFFFF" w:sz="0"/>
            </w:tcBorders>
            <w:shd w:fill="1A3A5C" w:val="clear"/>
            <w:tcMar>
              <w:top w:type="dxa" w:w="600"/>
              <w:left w:type="dxa" w:w="1440"/>
              <w:bottom w:type="dxa" w:w="0"/>
              <w:right w:type="dxa" w:w="1440"/>
            </w:tcMar>
            <w:vAlign w:val="bottom"/>
          </w:tcPr>
          <w:p>
            <w:r>
              <w:rPr>
                <w:rFonts w:ascii="Arial" w:cs="Arial" w:eastAsia="Arial" w:hAnsi="Arial"/>
                <w:b/>
                <w:bCs/>
                <w:color w:val="FFFFFF"/>
                <w:sz w:val="64"/>
                <w:szCs w:val="64"/>
              </w:rPr>
              <w:t xml:space="preserve">PROMOCIMA</w:t>
            </w:r>
          </w:p>
          <w:p>
            <w:pPr>
              <w:spacing w:before="80"/>
            </w:pPr>
            <w:r>
              <w:rPr>
                <w:rFonts w:ascii="Arial" w:cs="Arial" w:eastAsia="Arial" w:hAnsi="Arial"/>
                <w:color w:val="A8C8F0"/>
                <w:sz w:val="24"/>
                <w:szCs w:val="24"/>
              </w:rPr>
              <w:t xml:space="preserve">Capital Privado  ·  Gestión Interna</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220" w:hRule="exact"/>
        </w:trPr>
        <w:tc>
          <w:tcPr>
            <w:tcW w:type="dxa" w:w="11906"/>
            <w:tcBorders>
              <w:top w:val="none" w:color="FFFFFF" w:sz="0"/>
              <w:left w:val="none" w:color="FFFFFF" w:sz="0"/>
              <w:bottom w:val="none" w:color="FFFFFF" w:sz="0"/>
              <w:right w:val="none" w:color="FFFFFF" w:sz="0"/>
            </w:tcBorders>
            <w:shd w:fill="2563A8" w:val="clear"/>
            <w:tcMar>
              <w:top w:type="dxa" w:w="40"/>
              <w:left w:type="dxa" w:w="1440"/>
              <w:bottom w:type="dxa" w:w="40"/>
              <w:right w:type="dxa" w:w="1440"/>
            </w:tcMar>
          </w:tcPr>
          <w:p>
            <w:r>
              <w:rPr>
                <w:sz w:val="10"/>
                <w:szCs w:val="10"/>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0000" w:hRule="exact"/>
        </w:trPr>
        <w:tc>
          <w:tcPr>
            <w:tcW w:type="dxa" w:w="11906"/>
            <w:tcBorders>
              <w:top w:val="none" w:color="FFFFFF" w:sz="0"/>
              <w:left w:val="none" w:color="FFFFFF" w:sz="0"/>
              <w:bottom w:val="none" w:color="FFFFFF" w:sz="0"/>
              <w:right w:val="none" w:color="FFFFFF" w:sz="0"/>
            </w:tcBorders>
            <w:shd w:fill="F4F6F9" w:val="clear"/>
            <w:tcMar>
              <w:top w:type="dxa" w:w="1200"/>
              <w:left w:type="dxa" w:w="1440"/>
              <w:bottom w:type="dxa" w:w="600"/>
              <w:right w:type="dxa" w:w="1440"/>
            </w:tcMar>
            <w:vAlign w:val="top"/>
          </w:tcPr>
          <w:p>
            <w:pPr>
              <w:spacing w:before="0" w:after="600"/>
            </w:pPr>
            <w:r>
              <w:rPr>
                <w:rFonts w:ascii="Arial" w:cs="Arial" w:eastAsia="Arial" w:hAnsi="Arial"/>
                <w:b/>
                <w:bCs/>
                <w:color w:val="2563A8"/>
                <w:sz w:val="22"/>
                <w:szCs w:val="22"/>
              </w:rPr>
              <w:t xml:space="preserve">DOCUMENTO DE ESPECIFICACIÓN</w:t>
            </w:r>
          </w:p>
          <w:p>
            <w:pPr>
              <w:spacing w:before="0" w:after="200"/>
            </w:pPr>
            <w:r>
              <w:rPr>
                <w:rFonts w:ascii="Arial" w:cs="Arial" w:eastAsia="Arial" w:hAnsi="Arial"/>
                <w:b/>
                <w:bCs/>
                <w:color w:val="1A3A5C"/>
                <w:sz w:val="52"/>
                <w:szCs w:val="52"/>
              </w:rPr>
              <w:t xml:space="preserve">Descripción Funcional y Técnica</w:t>
            </w:r>
          </w:p>
          <w:p>
            <w:pPr>
              <w:spacing w:before="0" w:after="800"/>
            </w:pPr>
            <w:r>
              <w:rPr>
                <w:rFonts w:ascii="Arial" w:cs="Arial" w:eastAsia="Arial" w:hAnsi="Arial"/>
                <w:color w:val="4A5568"/>
                <w:sz w:val="28"/>
                <w:szCs w:val="28"/>
              </w:rPr>
              <w:t xml:space="preserve">Sistema de Gestión de Cartera de Préstamos Hipotecarios</w:t>
            </w:r>
          </w:p>
          <w:p>
            <w:r>
              <w:rPr>
                <w:sz w:val="10"/>
                <w:szCs w:val="10"/>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0D7E2" w:sz="1"/>
                    <w:left w:val="single" w:color="D0D7E2" w:sz="1"/>
                    <w:bottom w:val="single" w:color="D0D7E2" w:sz="1"/>
                    <w:right w:val="single" w:color="D0D7E2" w:sz="1"/>
                  </w:tcBorders>
                  <w:shd w:fill="1A3A5C" w:val="clear"/>
                  <w:tcMar>
                    <w:top w:type="dxa" w:w="80"/>
                    <w:left w:type="dxa" w:w="150"/>
                    <w:bottom w:type="dxa" w:w="80"/>
                    <w:right w:type="dxa" w:w="150"/>
                  </w:tcMar>
                </w:tcPr>
                <w:p>
                  <w:r>
                    <w:rPr>
                      <w:rFonts w:ascii="Arial" w:cs="Arial" w:eastAsia="Arial" w:hAnsi="Arial"/>
                      <w:b/>
                      <w:bCs/>
                      <w:color w:val="FFFFFF"/>
                      <w:sz w:val="19"/>
                      <w:szCs w:val="19"/>
                    </w:rPr>
                    <w:t xml:space="preserve">Versión</w:t>
                  </w:r>
                </w:p>
              </w:tc>
              <w:tc>
                <w:tcPr>
                  <w:tcW w:type="dxa" w:w="3000"/>
                  <w:tcBorders>
                    <w:top w:val="single" w:color="D0D7E2" w:sz="1"/>
                    <w:left w:val="single" w:color="D0D7E2" w:sz="1"/>
                    <w:bottom w:val="single" w:color="D0D7E2" w:sz="1"/>
                    <w:right w:val="single" w:color="D0D7E2"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1.0</w:t>
                  </w:r>
                </w:p>
              </w:tc>
            </w:tr>
            <w:tr>
              <w:tc>
                <w:tcPr>
                  <w:tcW w:type="dxa" w:w="2000"/>
                  <w:tcBorders>
                    <w:top w:val="single" w:color="D0D7E2" w:sz="1"/>
                    <w:left w:val="single" w:color="D0D7E2" w:sz="1"/>
                    <w:bottom w:val="single" w:color="D0D7E2" w:sz="1"/>
                    <w:right w:val="single" w:color="D0D7E2" w:sz="1"/>
                  </w:tcBorders>
                  <w:shd w:fill="1A3A5C" w:val="clear"/>
                  <w:tcMar>
                    <w:top w:type="dxa" w:w="80"/>
                    <w:left w:type="dxa" w:w="150"/>
                    <w:bottom w:type="dxa" w:w="80"/>
                    <w:right w:type="dxa" w:w="150"/>
                  </w:tcMar>
                </w:tcPr>
                <w:p>
                  <w:r>
                    <w:rPr>
                      <w:rFonts w:ascii="Arial" w:cs="Arial" w:eastAsia="Arial" w:hAnsi="Arial"/>
                      <w:b/>
                      <w:bCs/>
                      <w:color w:val="FFFFFF"/>
                      <w:sz w:val="19"/>
                      <w:szCs w:val="19"/>
                    </w:rPr>
                    <w:t xml:space="preserve">Fecha</w:t>
                  </w:r>
                </w:p>
              </w:tc>
              <w:tc>
                <w:tcPr>
                  <w:tcW w:type="dxa" w:w="3000"/>
                  <w:tcBorders>
                    <w:top w:val="single" w:color="D0D7E2" w:sz="1"/>
                    <w:left w:val="single" w:color="D0D7E2" w:sz="1"/>
                    <w:bottom w:val="single" w:color="D0D7E2" w:sz="1"/>
                    <w:right w:val="single" w:color="D0D7E2"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23 de febrero de 2026</w:t>
                  </w:r>
                </w:p>
              </w:tc>
            </w:tr>
            <w:tr>
              <w:tc>
                <w:tcPr>
                  <w:tcW w:type="dxa" w:w="2000"/>
                  <w:tcBorders>
                    <w:top w:val="single" w:color="D0D7E2" w:sz="1"/>
                    <w:left w:val="single" w:color="D0D7E2" w:sz="1"/>
                    <w:bottom w:val="single" w:color="D0D7E2" w:sz="1"/>
                    <w:right w:val="single" w:color="D0D7E2" w:sz="1"/>
                  </w:tcBorders>
                  <w:shd w:fill="1A3A5C" w:val="clear"/>
                  <w:tcMar>
                    <w:top w:type="dxa" w:w="80"/>
                    <w:left w:type="dxa" w:w="150"/>
                    <w:bottom w:type="dxa" w:w="80"/>
                    <w:right w:type="dxa" w:w="150"/>
                  </w:tcMar>
                </w:tcPr>
                <w:p>
                  <w:r>
                    <w:rPr>
                      <w:rFonts w:ascii="Arial" w:cs="Arial" w:eastAsia="Arial" w:hAnsi="Arial"/>
                      <w:b/>
                      <w:bCs/>
                      <w:color w:val="FFFFFF"/>
                      <w:sz w:val="19"/>
                      <w:szCs w:val="19"/>
                    </w:rPr>
                    <w:t xml:space="preserve">Clasificación</w:t>
                  </w:r>
                </w:p>
              </w:tc>
              <w:tc>
                <w:tcPr>
                  <w:tcW w:type="dxa" w:w="3000"/>
                  <w:tcBorders>
                    <w:top w:val="single" w:color="D0D7E2" w:sz="1"/>
                    <w:left w:val="single" w:color="D0D7E2" w:sz="1"/>
                    <w:bottom w:val="single" w:color="D0D7E2" w:sz="1"/>
                    <w:right w:val="single" w:color="D0D7E2"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Uso Interno</w:t>
                  </w:r>
                </w:p>
              </w:tc>
            </w:tr>
            <w:tr>
              <w:tc>
                <w:tcPr>
                  <w:tcW w:type="dxa" w:w="2000"/>
                  <w:tcBorders>
                    <w:top w:val="single" w:color="D0D7E2" w:sz="1"/>
                    <w:left w:val="single" w:color="D0D7E2" w:sz="1"/>
                    <w:bottom w:val="single" w:color="D0D7E2" w:sz="1"/>
                    <w:right w:val="single" w:color="D0D7E2" w:sz="1"/>
                  </w:tcBorders>
                  <w:shd w:fill="1A3A5C" w:val="clear"/>
                  <w:tcMar>
                    <w:top w:type="dxa" w:w="80"/>
                    <w:left w:type="dxa" w:w="150"/>
                    <w:bottom w:type="dxa" w:w="80"/>
                    <w:right w:type="dxa" w:w="150"/>
                  </w:tcMar>
                </w:tcPr>
                <w:p>
                  <w:r>
                    <w:rPr>
                      <w:rFonts w:ascii="Arial" w:cs="Arial" w:eastAsia="Arial" w:hAnsi="Arial"/>
                      <w:b/>
                      <w:bCs/>
                      <w:color w:val="FFFFFF"/>
                      <w:sz w:val="19"/>
                      <w:szCs w:val="19"/>
                    </w:rPr>
                    <w:t xml:space="preserve">Elaborado por</w:t>
                  </w:r>
                </w:p>
              </w:tc>
              <w:tc>
                <w:tcPr>
                  <w:tcW w:type="dxa" w:w="3000"/>
                  <w:tcBorders>
                    <w:top w:val="single" w:color="D0D7E2" w:sz="1"/>
                    <w:left w:val="single" w:color="D0D7E2" w:sz="1"/>
                    <w:bottom w:val="single" w:color="D0D7E2" w:sz="1"/>
                    <w:right w:val="single" w:color="D0D7E2"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Equipo de Desarrollo</w:t>
                  </w:r>
                </w:p>
              </w:tc>
            </w:tr>
          </w:tbl>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400" w:hRule="exact"/>
        </w:trPr>
        <w:tc>
          <w:tcPr>
            <w:tcW w:type="dxa" w:w="11906"/>
            <w:tcBorders>
              <w:top w:val="none" w:color="FFFFFF" w:sz="0"/>
              <w:left w:val="none" w:color="FFFFFF" w:sz="0"/>
              <w:bottom w:val="none" w:color="FFFFFF" w:sz="0"/>
              <w:right w:val="none" w:color="FFFFFF" w:sz="0"/>
            </w:tcBorders>
            <w:shd w:fill="1A3A5C" w:val="clear"/>
            <w:tcMar>
              <w:top w:type="dxa" w:w="120"/>
              <w:left w:type="dxa" w:w="1440"/>
              <w:bottom w:type="dxa" w:w="120"/>
              <w:right w:type="dxa" w:w="1440"/>
            </w:tcMar>
            <w:vAlign w:val="center"/>
          </w:tcPr>
          <w:p>
            <w:r>
              <w:rPr>
                <w:rFonts w:ascii="Arial" w:cs="Arial" w:eastAsia="Arial" w:hAnsi="Arial"/>
                <w:b w:val="false"/>
                <w:bCs w:val="false"/>
                <w:color w:val="A8C8F0"/>
                <w:sz w:val="18"/>
                <w:szCs w:val="18"/>
              </w:rPr>
              <w:t xml:space="preserve">CONFIDENCIAL  —  USO INTERNO EXCLUSIVO</w:t>
            </w:r>
          </w:p>
        </w:tc>
      </w:tr>
    </w:tbl>
    <w:p>
      <w:pPr>
        <w:sectPr>
          <w:pgSz w:w="11906" w:h="16838" w:orient="portrait"/>
          <w:pgMar w:top="0" w:right="0" w:bottom="0" w:left="0" w:header="708" w:footer="708" w:gutter="0"/>
          <w:pgNumType/>
          <w:docGrid w:linePitch="360"/>
        </w:sectPr>
      </w:pPr>
    </w:p>
    <w:p>
      <w:pPr>
        <w:pStyle w:val="Heading1"/>
      </w:pPr>
      <w:r>
        <w:rPr>
          <w:rFonts w:ascii="Arial" w:cs="Arial" w:eastAsia="Arial" w:hAnsi="Arial"/>
        </w:rPr>
        <w:t xml:space="preserve">1. Introducción y Propósito del Sistema</w:t>
      </w:r>
    </w:p>
    <w:p>
      <w:pPr>
        <w:spacing w:before="80" w:after="80" w:line="276" w:lineRule="auto"/>
        <w:jc w:val="left"/>
      </w:pPr>
      <w:r>
        <w:rPr>
          <w:rFonts w:ascii="Arial" w:cs="Arial" w:eastAsia="Arial" w:hAnsi="Arial"/>
          <w:b w:val="false"/>
          <w:bCs w:val="false"/>
          <w:i w:val="false"/>
          <w:iCs w:val="false"/>
          <w:color w:val="1A1A2E"/>
          <w:sz w:val="20"/>
          <w:szCs w:val="20"/>
        </w:rPr>
        <w:t xml:space="preserve">PROMOCIMA es una aplicación web de gestión interna diseñada para la operativa completa de una empresa de capital privado especializada en préstamos hipotecarios. El sistema centraliza en una única interfaz todas las operaciones del negocio: desde el alta de clientes y garantías hasta el seguimiento de cobros, la gestión de inversores partícipes y el análisis de la cartera por dirección.</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val="false"/>
          <w:bCs w:val="false"/>
          <w:i w:val="false"/>
          <w:iCs w:val="false"/>
          <w:color w:val="1A1A2E"/>
          <w:sz w:val="20"/>
          <w:szCs w:val="20"/>
        </w:rPr>
        <w:t xml:space="preserve">El sistema está orientado exclusivamente a uso interno por parte del equipo de gestión, y no está concebido como plataforma de acceso de terceros. Su objetivo es eliminar la dependencia de hojas de cálculo dispersas, garantizar la integridad de los datos y proporcionar información en tiempo real sobre el estado de la cartera.</w:t>
      </w:r>
    </w:p>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563A8" w:val="clear"/>
            <w:tcMar>
              <w:top w:type="dxa" w:w="80"/>
              <w:left w:type="dxa" w:w="0"/>
              <w:bottom w:type="dxa" w:w="80"/>
              <w:right w:type="dxa" w:w="0"/>
            </w:tcMar>
          </w:tcPr>
          <w:p>
            <w:r>
              <w:t xml:space="preserve"/>
            </w:r>
          </w:p>
        </w:tc>
        <w:tc>
          <w:tcPr>
            <w:tcW w:type="dxa" w:w="9160"/>
            <w:tcBorders>
              <w:top w:val="none" w:color="FFFFFF" w:sz="0"/>
              <w:left w:val="none" w:color="FFFFFF" w:sz="0"/>
              <w:bottom w:val="none" w:color="FFFFFF" w:sz="0"/>
              <w:right w:val="none" w:color="FFFFFF" w:sz="0"/>
            </w:tcBorders>
            <w:shd w:fill="D6E4F7" w:val="clear"/>
            <w:tcMar>
              <w:top w:type="dxa" w:w="100"/>
              <w:left w:type="dxa" w:w="200"/>
              <w:bottom w:type="dxa" w:w="100"/>
              <w:right w:type="dxa" w:w="200"/>
            </w:tcMar>
          </w:tcPr>
          <w:p>
            <w:r>
              <w:rPr>
                <w:rFonts w:ascii="Arial" w:cs="Arial" w:eastAsia="Arial" w:hAnsi="Arial"/>
                <w:b/>
                <w:bCs/>
                <w:color w:val="1A3A5C"/>
                <w:sz w:val="19"/>
                <w:szCs w:val="19"/>
              </w:rPr>
              <w:t xml:space="preserve">Ámbito de aplicación</w:t>
            </w:r>
          </w:p>
          <w:p>
            <w:r>
              <w:rPr>
                <w:rFonts w:ascii="Arial" w:cs="Arial" w:eastAsia="Arial" w:hAnsi="Arial"/>
                <w:color w:val="1A1A2E"/>
                <w:sz w:val="19"/>
                <w:szCs w:val="19"/>
              </w:rPr>
              <w:t xml:space="preserve">El sistema cubre el ciclo completo de vida de un préstamo hipotecario: formalización, seguimiento mensual de cuotas, registro de cobros reales, gestión de partícipes (cuentas en participación), y resolución de incidencias (retrasos, judicializaciones, cancelaciones anticipadas).</w:t>
            </w:r>
          </w:p>
        </w:tc>
      </w:tr>
    </w:tbl>
    <w:p>
      <w:pPr>
        <w:spacing w:before="0" w:after="0"/>
      </w:pPr>
      <w:r>
        <w:rPr>
          <w:rFonts w:ascii="Arial" w:cs="Arial" w:eastAsia="Arial" w:hAnsi="Arial"/>
          <w:sz w:val="18"/>
          <w:szCs w:val="18"/>
        </w:rPr>
        <w:t xml:space="preserve"/>
      </w:r>
    </w:p>
    <w:p>
      <w:pPr>
        <w:pStyle w:val="Heading1"/>
      </w:pPr>
      <w:r>
        <w:rPr>
          <w:rFonts w:ascii="Arial" w:cs="Arial" w:eastAsia="Arial" w:hAnsi="Arial"/>
        </w:rPr>
        <w:t xml:space="preserve">2. Módulos Funcionales</w:t>
      </w:r>
    </w:p>
    <w:p>
      <w:pPr>
        <w:spacing w:before="80" w:after="80" w:line="276" w:lineRule="auto"/>
        <w:jc w:val="left"/>
      </w:pPr>
      <w:r>
        <w:rPr>
          <w:rFonts w:ascii="Arial" w:cs="Arial" w:eastAsia="Arial" w:hAnsi="Arial"/>
          <w:b w:val="false"/>
          <w:bCs w:val="false"/>
          <w:i w:val="false"/>
          <w:iCs w:val="false"/>
          <w:color w:val="1A1A2E"/>
          <w:sz w:val="20"/>
          <w:szCs w:val="20"/>
        </w:rPr>
        <w:t xml:space="preserve">La aplicación está organizada en once módulos accesibles desde la barra lateral de navegación. Cada módulo puede operar en modo listado y en modo detalle, con transiciones directas entre ellos. A continuación se describe la funcionalidad de cada uno.</w:t>
      </w:r>
    </w:p>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2.1 Dashboard Financiero</w:t>
      </w:r>
    </w:p>
    <w:p>
      <w:pPr>
        <w:spacing w:before="80" w:after="80" w:line="276" w:lineRule="auto"/>
        <w:jc w:val="left"/>
      </w:pPr>
      <w:r>
        <w:rPr>
          <w:rFonts w:ascii="Arial" w:cs="Arial" w:eastAsia="Arial" w:hAnsi="Arial"/>
          <w:b w:val="false"/>
          <w:bCs w:val="false"/>
          <w:i w:val="false"/>
          <w:iCs w:val="false"/>
          <w:color w:val="1A1A2E"/>
          <w:sz w:val="20"/>
          <w:szCs w:val="20"/>
        </w:rPr>
        <w:t xml:space="preserve">Es la pantalla de inicio y la vista global del negocio. Muestra de forma inmediata el estado consolidado de la cartera activa.</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Indicadores principales (KPIs):</w:t>
      </w:r>
    </w:p>
    <w:p>
      <w:pPr>
        <w:pStyle w:val="ListParagraph"/>
        <w:numPr>
          <w:ilvl w:val="0"/>
          <w:numId w:val="2"/>
        </w:numPr>
        <w:spacing w:before="40" w:after="40"/>
      </w:pPr>
      <w:r>
        <w:rPr>
          <w:rFonts w:ascii="Arial" w:cs="Arial" w:eastAsia="Arial" w:hAnsi="Arial"/>
          <w:color w:val="1A1A2E"/>
          <w:sz w:val="20"/>
          <w:szCs w:val="20"/>
        </w:rPr>
        <w:t xml:space="preserve">Capital desplegado: suma del importe de todos los préstamos en estado activo.</w:t>
      </w:r>
    </w:p>
    <w:p>
      <w:pPr>
        <w:pStyle w:val="ListParagraph"/>
        <w:numPr>
          <w:ilvl w:val="0"/>
          <w:numId w:val="2"/>
        </w:numPr>
        <w:spacing w:before="40" w:after="40"/>
      </w:pPr>
      <w:r>
        <w:rPr>
          <w:rFonts w:ascii="Arial" w:cs="Arial" w:eastAsia="Arial" w:hAnsi="Arial"/>
          <w:color w:val="1A1A2E"/>
          <w:sz w:val="20"/>
          <w:szCs w:val="20"/>
        </w:rPr>
        <w:t xml:space="preserve">Ingresos mensuales estimados: suma de los intereses ordinarios mensuales generados por la cartera activa.</w:t>
      </w:r>
    </w:p>
    <w:p>
      <w:pPr>
        <w:pStyle w:val="ListParagraph"/>
        <w:numPr>
          <w:ilvl w:val="0"/>
          <w:numId w:val="2"/>
        </w:numPr>
        <w:spacing w:before="40" w:after="40"/>
      </w:pPr>
      <w:r>
        <w:rPr>
          <w:rFonts w:ascii="Arial" w:cs="Arial" w:eastAsia="Arial" w:hAnsi="Arial"/>
          <w:color w:val="1A1A2E"/>
          <w:sz w:val="20"/>
          <w:szCs w:val="20"/>
        </w:rPr>
        <w:t xml:space="preserve">LTV medio de la cartera: loan-to-value promedio ponderado de todos los préstamos activos.</w:t>
      </w:r>
    </w:p>
    <w:p>
      <w:pPr>
        <w:pStyle w:val="ListParagraph"/>
        <w:numPr>
          <w:ilvl w:val="0"/>
          <w:numId w:val="2"/>
        </w:numPr>
        <w:spacing w:before="40" w:after="40"/>
      </w:pPr>
      <w:r>
        <w:rPr>
          <w:rFonts w:ascii="Arial" w:cs="Arial" w:eastAsia="Arial" w:hAnsi="Arial"/>
          <w:color w:val="1A1A2E"/>
          <w:sz w:val="20"/>
          <w:szCs w:val="20"/>
        </w:rPr>
        <w:t xml:space="preserve">Incidencias: número de préstamos con cuotas en retraso y préstamos judicializados.</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Tabla de préstamos activos:</w:t>
      </w:r>
    </w:p>
    <w:p>
      <w:pPr>
        <w:spacing w:before="80" w:after="80" w:line="276" w:lineRule="auto"/>
        <w:jc w:val="left"/>
      </w:pPr>
      <w:r>
        <w:rPr>
          <w:rFonts w:ascii="Arial" w:cs="Arial" w:eastAsia="Arial" w:hAnsi="Arial"/>
          <w:b w:val="false"/>
          <w:bCs w:val="false"/>
          <w:i w:val="false"/>
          <w:iCs w:val="false"/>
          <w:color w:val="1A1A2E"/>
          <w:sz w:val="20"/>
          <w:szCs w:val="20"/>
        </w:rPr>
        <w:t xml:space="preserve">Lista ordenable con alias del préstamo, cliente vinculado, tipo, importe, interés mensual, LTV individual y estado calculado. Cada fila es clickable para navegar al detalle del préstamo.</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Resumen por estado:</w:t>
      </w:r>
    </w:p>
    <w:p>
      <w:pPr>
        <w:spacing w:before="80" w:after="80" w:line="276" w:lineRule="auto"/>
        <w:jc w:val="left"/>
      </w:pPr>
      <w:r>
        <w:rPr>
          <w:rFonts w:ascii="Arial" w:cs="Arial" w:eastAsia="Arial" w:hAnsi="Arial"/>
          <w:b w:val="false"/>
          <w:bCs w:val="false"/>
          <w:i w:val="false"/>
          <w:iCs w:val="false"/>
          <w:color w:val="1A1A2E"/>
          <w:sz w:val="20"/>
          <w:szCs w:val="20"/>
        </w:rPr>
        <w:t xml:space="preserve">Tabla agregada que muestra el número de préstamos y capital por cada estado (activo, cancelado, judicializado), con barra de progreso proporcional.</w:t>
      </w:r>
    </w:p>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2.2 Clientes</w:t>
      </w:r>
    </w:p>
    <w:p>
      <w:pPr>
        <w:spacing w:before="80" w:after="80" w:line="276" w:lineRule="auto"/>
        <w:jc w:val="left"/>
      </w:pPr>
      <w:r>
        <w:rPr>
          <w:rFonts w:ascii="Arial" w:cs="Arial" w:eastAsia="Arial" w:hAnsi="Arial"/>
          <w:b w:val="false"/>
          <w:bCs w:val="false"/>
          <w:i w:val="false"/>
          <w:iCs w:val="false"/>
          <w:color w:val="1A1A2E"/>
          <w:sz w:val="20"/>
          <w:szCs w:val="20"/>
        </w:rPr>
        <w:t xml:space="preserve">Gestión del registro de prestatarios, tanto personas físicas como empresas.</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Vista listado:</w:t>
      </w:r>
    </w:p>
    <w:p>
      <w:pPr>
        <w:pStyle w:val="ListParagraph"/>
        <w:numPr>
          <w:ilvl w:val="0"/>
          <w:numId w:val="2"/>
        </w:numPr>
        <w:spacing w:before="40" w:after="40"/>
      </w:pPr>
      <w:r>
        <w:rPr>
          <w:rFonts w:ascii="Arial" w:cs="Arial" w:eastAsia="Arial" w:hAnsi="Arial"/>
          <w:color w:val="1A1A2E"/>
          <w:sz w:val="20"/>
          <w:szCs w:val="20"/>
        </w:rPr>
        <w:t xml:space="preserve">Tabla con nombre, tipo (persona/empresa), CIF/NIF, teléfono, email y número de préstamos asociados.</w:t>
      </w:r>
    </w:p>
    <w:p>
      <w:pPr>
        <w:pStyle w:val="ListParagraph"/>
        <w:numPr>
          <w:ilvl w:val="0"/>
          <w:numId w:val="2"/>
        </w:numPr>
        <w:spacing w:before="40" w:after="40"/>
      </w:pPr>
      <w:r>
        <w:rPr>
          <w:rFonts w:ascii="Arial" w:cs="Arial" w:eastAsia="Arial" w:hAnsi="Arial"/>
          <w:color w:val="1A1A2E"/>
          <w:sz w:val="20"/>
          <w:szCs w:val="20"/>
        </w:rPr>
        <w:t xml:space="preserve">Búsqueda en tiempo real por cualquier campo.</w:t>
      </w:r>
    </w:p>
    <w:p>
      <w:pPr>
        <w:pStyle w:val="ListParagraph"/>
        <w:numPr>
          <w:ilvl w:val="0"/>
          <w:numId w:val="2"/>
        </w:numPr>
        <w:spacing w:before="40" w:after="40"/>
      </w:pPr>
      <w:r>
        <w:rPr>
          <w:rFonts w:ascii="Arial" w:cs="Arial" w:eastAsia="Arial" w:hAnsi="Arial"/>
          <w:color w:val="1A1A2E"/>
          <w:sz w:val="20"/>
          <w:szCs w:val="20"/>
        </w:rPr>
        <w:t xml:space="preserve">Ordenación por cualquier columna.</w:t>
      </w:r>
    </w:p>
    <w:p>
      <w:pPr>
        <w:pStyle w:val="ListParagraph"/>
        <w:numPr>
          <w:ilvl w:val="0"/>
          <w:numId w:val="2"/>
        </w:numPr>
        <w:spacing w:before="40" w:after="40"/>
      </w:pPr>
      <w:r>
        <w:rPr>
          <w:rFonts w:ascii="Arial" w:cs="Arial" w:eastAsia="Arial" w:hAnsi="Arial"/>
          <w:color w:val="1A1A2E"/>
          <w:sz w:val="20"/>
          <w:szCs w:val="20"/>
        </w:rPr>
        <w:t xml:space="preserve">Botón de nuevo cliente con formulario modal.</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Vista detalle:</w:t>
      </w:r>
    </w:p>
    <w:p>
      <w:pPr>
        <w:pStyle w:val="ListParagraph"/>
        <w:numPr>
          <w:ilvl w:val="0"/>
          <w:numId w:val="2"/>
        </w:numPr>
        <w:spacing w:before="40" w:after="40"/>
      </w:pPr>
      <w:r>
        <w:rPr>
          <w:rFonts w:ascii="Arial" w:cs="Arial" w:eastAsia="Arial" w:hAnsi="Arial"/>
          <w:color w:val="1A1A2E"/>
          <w:sz w:val="20"/>
          <w:szCs w:val="20"/>
        </w:rPr>
        <w:t xml:space="preserve">Ficha completa del cliente con todos sus datos de contacto.</w:t>
      </w:r>
    </w:p>
    <w:p>
      <w:pPr>
        <w:pStyle w:val="ListParagraph"/>
        <w:numPr>
          <w:ilvl w:val="0"/>
          <w:numId w:val="2"/>
        </w:numPr>
        <w:spacing w:before="40" w:after="40"/>
      </w:pPr>
      <w:r>
        <w:rPr>
          <w:rFonts w:ascii="Arial" w:cs="Arial" w:eastAsia="Arial" w:hAnsi="Arial"/>
          <w:color w:val="1A1A2E"/>
          <w:sz w:val="20"/>
          <w:szCs w:val="20"/>
        </w:rPr>
        <w:t xml:space="preserve">Listado de préstamos asociados con importe y estado.</w:t>
      </w:r>
    </w:p>
    <w:p>
      <w:pPr>
        <w:pStyle w:val="ListParagraph"/>
        <w:numPr>
          <w:ilvl w:val="0"/>
          <w:numId w:val="2"/>
        </w:numPr>
        <w:spacing w:before="40" w:after="40"/>
      </w:pPr>
      <w:r>
        <w:rPr>
          <w:rFonts w:ascii="Arial" w:cs="Arial" w:eastAsia="Arial" w:hAnsi="Arial"/>
          <w:color w:val="1A1A2E"/>
          <w:sz w:val="20"/>
          <w:szCs w:val="20"/>
        </w:rPr>
        <w:t xml:space="preserve">Acciones disponibles: editar datos y eliminar (con confirmación).</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val="false"/>
          <w:bCs w:val="false"/>
          <w:i w:val="false"/>
          <w:iCs w:val="false"/>
          <w:color w:val="1A1A2E"/>
          <w:sz w:val="20"/>
          <w:szCs w:val="20"/>
        </w:rPr>
        <w:t xml:space="preserve">Campos del formulario: nombre o razón social, tipo (persona/empresa), CIF/NIF, teléfono, email y notas internas.</w:t>
      </w:r>
    </w:p>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2.3 Intermediarios</w:t>
      </w:r>
    </w:p>
    <w:p>
      <w:pPr>
        <w:spacing w:before="80" w:after="80" w:line="276" w:lineRule="auto"/>
        <w:jc w:val="left"/>
      </w:pPr>
      <w:r>
        <w:rPr>
          <w:rFonts w:ascii="Arial" w:cs="Arial" w:eastAsia="Arial" w:hAnsi="Arial"/>
          <w:b w:val="false"/>
          <w:bCs w:val="false"/>
          <w:i w:val="false"/>
          <w:iCs w:val="false"/>
          <w:color w:val="1A1A2E"/>
          <w:sz w:val="20"/>
          <w:szCs w:val="20"/>
        </w:rPr>
        <w:t xml:space="preserve">Registro de los agentes o brokers que intermedian en la captación de operaciones.</w:t>
      </w:r>
    </w:p>
    <w:p>
      <w:pPr>
        <w:pStyle w:val="ListParagraph"/>
        <w:numPr>
          <w:ilvl w:val="0"/>
          <w:numId w:val="2"/>
        </w:numPr>
        <w:spacing w:before="40" w:after="40"/>
      </w:pPr>
      <w:r>
        <w:rPr>
          <w:rFonts w:ascii="Arial" w:cs="Arial" w:eastAsia="Arial" w:hAnsi="Arial"/>
          <w:color w:val="1A1A2E"/>
          <w:sz w:val="20"/>
          <w:szCs w:val="20"/>
        </w:rPr>
        <w:t xml:space="preserve">CRUD completo con nombre, NIF, teléfono, email y notas.</w:t>
      </w:r>
    </w:p>
    <w:p>
      <w:pPr>
        <w:pStyle w:val="ListParagraph"/>
        <w:numPr>
          <w:ilvl w:val="0"/>
          <w:numId w:val="2"/>
        </w:numPr>
        <w:spacing w:before="40" w:after="40"/>
      </w:pPr>
      <w:r>
        <w:rPr>
          <w:rFonts w:ascii="Arial" w:cs="Arial" w:eastAsia="Arial" w:hAnsi="Arial"/>
          <w:color w:val="1A1A2E"/>
          <w:sz w:val="20"/>
          <w:szCs w:val="20"/>
        </w:rPr>
        <w:t xml:space="preserve">Vista listado con búsqueda y ordenación.</w:t>
      </w:r>
    </w:p>
    <w:p>
      <w:pPr>
        <w:pStyle w:val="ListParagraph"/>
        <w:numPr>
          <w:ilvl w:val="0"/>
          <w:numId w:val="2"/>
        </w:numPr>
        <w:spacing w:before="40" w:after="40"/>
      </w:pPr>
      <w:r>
        <w:rPr>
          <w:rFonts w:ascii="Arial" w:cs="Arial" w:eastAsia="Arial" w:hAnsi="Arial"/>
          <w:color w:val="1A1A2E"/>
          <w:sz w:val="20"/>
          <w:szCs w:val="20"/>
        </w:rPr>
        <w:t xml:space="preserve">Vista detalle con las operaciones que han captado (préstamos vinculados).</w:t>
      </w:r>
    </w:p>
    <w:p>
      <w:pPr>
        <w:pStyle w:val="ListParagraph"/>
        <w:numPr>
          <w:ilvl w:val="0"/>
          <w:numId w:val="2"/>
        </w:numPr>
        <w:spacing w:before="40" w:after="40"/>
      </w:pPr>
      <w:r>
        <w:rPr>
          <w:rFonts w:ascii="Arial" w:cs="Arial" w:eastAsia="Arial" w:hAnsi="Arial"/>
          <w:color w:val="1A1A2E"/>
          <w:sz w:val="20"/>
          <w:szCs w:val="20"/>
        </w:rPr>
        <w:t xml:space="preserve">Cada préstamo puede tener opcionalmente un intermediario asignado, que se muestra en el listado de préstamos como filtro adicional.</w:t>
      </w:r>
    </w:p>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2.4 Garantías Hipotecarias</w:t>
      </w:r>
    </w:p>
    <w:p>
      <w:pPr>
        <w:spacing w:before="80" w:after="80" w:line="276" w:lineRule="auto"/>
        <w:jc w:val="left"/>
      </w:pPr>
      <w:r>
        <w:rPr>
          <w:rFonts w:ascii="Arial" w:cs="Arial" w:eastAsia="Arial" w:hAnsi="Arial"/>
          <w:b w:val="false"/>
          <w:bCs w:val="false"/>
          <w:i w:val="false"/>
          <w:iCs w:val="false"/>
          <w:color w:val="1A1A2E"/>
          <w:sz w:val="20"/>
          <w:szCs w:val="20"/>
        </w:rPr>
        <w:t xml:space="preserve">Registro de los inmuebles que actúan como garantía hipotecaria de los préstamos.</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Tipos de inmueble soportados:</w:t>
      </w:r>
    </w:p>
    <w:p>
      <w:pPr>
        <w:pStyle w:val="ListParagraph"/>
        <w:numPr>
          <w:ilvl w:val="0"/>
          <w:numId w:val="2"/>
        </w:numPr>
        <w:spacing w:before="40" w:after="40"/>
      </w:pPr>
      <w:r>
        <w:rPr>
          <w:rFonts w:ascii="Arial" w:cs="Arial" w:eastAsia="Arial" w:hAnsi="Arial"/>
          <w:color w:val="1A1A2E"/>
          <w:sz w:val="20"/>
          <w:szCs w:val="20"/>
        </w:rPr>
        <w:t xml:space="preserve">Solar, Local Comercial, Nave Industrial, Edificio, Vivienda, Parking, Otro.</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Información registrada por garantía:</w:t>
      </w:r>
    </w:p>
    <w:p>
      <w:pPr>
        <w:pStyle w:val="ListParagraph"/>
        <w:numPr>
          <w:ilvl w:val="0"/>
          <w:numId w:val="2"/>
        </w:numPr>
        <w:spacing w:before="40" w:after="40"/>
      </w:pPr>
      <w:r>
        <w:rPr>
          <w:rFonts w:ascii="Arial" w:cs="Arial" w:eastAsia="Arial" w:hAnsi="Arial"/>
          <w:color w:val="1A1A2E"/>
          <w:sz w:val="20"/>
          <w:szCs w:val="20"/>
        </w:rPr>
        <w:t xml:space="preserve">Dirección completa del inmueble.</w:t>
      </w:r>
    </w:p>
    <w:p>
      <w:pPr>
        <w:pStyle w:val="ListParagraph"/>
        <w:numPr>
          <w:ilvl w:val="0"/>
          <w:numId w:val="2"/>
        </w:numPr>
        <w:spacing w:before="40" w:after="40"/>
      </w:pPr>
      <w:r>
        <w:rPr>
          <w:rFonts w:ascii="Arial" w:cs="Arial" w:eastAsia="Arial" w:hAnsi="Arial"/>
          <w:color w:val="1A1A2E"/>
          <w:sz w:val="20"/>
          <w:szCs w:val="20"/>
        </w:rPr>
        <w:t xml:space="preserve">Tipo de activo y metros cuadrados.</w:t>
      </w:r>
    </w:p>
    <w:p>
      <w:pPr>
        <w:pStyle w:val="ListParagraph"/>
        <w:numPr>
          <w:ilvl w:val="0"/>
          <w:numId w:val="2"/>
        </w:numPr>
        <w:spacing w:before="40" w:after="40"/>
      </w:pPr>
      <w:r>
        <w:rPr>
          <w:rFonts w:ascii="Arial" w:cs="Arial" w:eastAsia="Arial" w:hAnsi="Arial"/>
          <w:color w:val="1A1A2E"/>
          <w:sz w:val="20"/>
          <w:szCs w:val="20"/>
        </w:rPr>
        <w:t xml:space="preserve">Tasador y fecha de tasación.</w:t>
      </w:r>
    </w:p>
    <w:p>
      <w:pPr>
        <w:pStyle w:val="ListParagraph"/>
        <w:numPr>
          <w:ilvl w:val="0"/>
          <w:numId w:val="2"/>
        </w:numPr>
        <w:spacing w:before="40" w:after="40"/>
      </w:pPr>
      <w:r>
        <w:rPr>
          <w:rFonts w:ascii="Arial" w:cs="Arial" w:eastAsia="Arial" w:hAnsi="Arial"/>
          <w:color w:val="1A1A2E"/>
          <w:sz w:val="20"/>
          <w:szCs w:val="20"/>
        </w:rPr>
        <w:t xml:space="preserve">Valor de tasación (base de cálculo del LTV).</w:t>
      </w:r>
    </w:p>
    <w:p>
      <w:pPr>
        <w:pStyle w:val="ListParagraph"/>
        <w:numPr>
          <w:ilvl w:val="0"/>
          <w:numId w:val="2"/>
        </w:numPr>
        <w:spacing w:before="40" w:after="40"/>
      </w:pPr>
      <w:r>
        <w:rPr>
          <w:rFonts w:ascii="Arial" w:cs="Arial" w:eastAsia="Arial" w:hAnsi="Arial"/>
          <w:color w:val="1A1A2E"/>
          <w:sz w:val="20"/>
          <w:szCs w:val="20"/>
        </w:rPr>
        <w:t xml:space="preserve">Valor de mercado, valor de suelo y valor en estado terminado.</w:t>
      </w:r>
    </w:p>
    <w:p>
      <w:pPr>
        <w:pStyle w:val="ListParagraph"/>
        <w:numPr>
          <w:ilvl w:val="0"/>
          <w:numId w:val="2"/>
        </w:numPr>
        <w:spacing w:before="40" w:after="40"/>
      </w:pPr>
      <w:r>
        <w:rPr>
          <w:rFonts w:ascii="Arial" w:cs="Arial" w:eastAsia="Arial" w:hAnsi="Arial"/>
          <w:color w:val="1A1A2E"/>
          <w:sz w:val="20"/>
          <w:szCs w:val="20"/>
        </w:rPr>
        <w:t xml:space="preserve">Fecha y valor de adquisición del prestatario.</w:t>
      </w:r>
    </w:p>
    <w:p>
      <w:pPr>
        <w:pStyle w:val="ListParagraph"/>
        <w:numPr>
          <w:ilvl w:val="0"/>
          <w:numId w:val="2"/>
        </w:numPr>
        <w:spacing w:before="40" w:after="40"/>
      </w:pPr>
      <w:r>
        <w:rPr>
          <w:rFonts w:ascii="Arial" w:cs="Arial" w:eastAsia="Arial" w:hAnsi="Arial"/>
          <w:color w:val="1A1A2E"/>
          <w:sz w:val="20"/>
          <w:szCs w:val="20"/>
        </w:rPr>
        <w:t xml:space="preserve">Notas internas.</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val="false"/>
          <w:bCs w:val="false"/>
          <w:i w:val="false"/>
          <w:iCs w:val="false"/>
          <w:color w:val="1A1A2E"/>
          <w:sz w:val="20"/>
          <w:szCs w:val="20"/>
        </w:rPr>
        <w:t xml:space="preserve">El listado muestra el LTV calculado automáticamente como la relación entre el importe del préstamo vinculado y el valor de tasación. El color del LTV es verde cuando es inferior o igual al 40% y naranja cuando supera ese umbral (umbral máximo de riesgo de la empresa).</w:t>
      </w:r>
    </w:p>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2.5 Préstamos</w:t>
      </w:r>
    </w:p>
    <w:p>
      <w:pPr>
        <w:spacing w:before="80" w:after="80" w:line="276" w:lineRule="auto"/>
        <w:jc w:val="left"/>
      </w:pPr>
      <w:r>
        <w:rPr>
          <w:rFonts w:ascii="Arial" w:cs="Arial" w:eastAsia="Arial" w:hAnsi="Arial"/>
          <w:b w:val="false"/>
          <w:bCs w:val="false"/>
          <w:i w:val="false"/>
          <w:iCs w:val="false"/>
          <w:color w:val="1A1A2E"/>
          <w:sz w:val="20"/>
          <w:szCs w:val="20"/>
        </w:rPr>
        <w:t xml:space="preserve">Es el módulo central del sistema. Gestiona el ciclo de vida completo de cada operación de financiación.</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Vista listado:</w:t>
      </w:r>
    </w:p>
    <w:p>
      <w:pPr>
        <w:pStyle w:val="ListParagraph"/>
        <w:numPr>
          <w:ilvl w:val="0"/>
          <w:numId w:val="2"/>
        </w:numPr>
        <w:spacing w:before="40" w:after="40"/>
      </w:pPr>
      <w:r>
        <w:rPr>
          <w:rFonts w:ascii="Arial" w:cs="Arial" w:eastAsia="Arial" w:hAnsi="Arial"/>
          <w:color w:val="1A1A2E"/>
          <w:sz w:val="20"/>
          <w:szCs w:val="20"/>
        </w:rPr>
        <w:t xml:space="preserve">Filtros por estado (activo, cancelado, judicializado), situación (al día, con retraso) e intermediario.</w:t>
      </w:r>
    </w:p>
    <w:p>
      <w:pPr>
        <w:pStyle w:val="ListParagraph"/>
        <w:numPr>
          <w:ilvl w:val="0"/>
          <w:numId w:val="2"/>
        </w:numPr>
        <w:spacing w:before="40" w:after="40"/>
      </w:pPr>
      <w:r>
        <w:rPr>
          <w:rFonts w:ascii="Arial" w:cs="Arial" w:eastAsia="Arial" w:hAnsi="Arial"/>
          <w:color w:val="1A1A2E"/>
          <w:sz w:val="20"/>
          <w:szCs w:val="20"/>
        </w:rPr>
        <w:t xml:space="preserve">Búsqueda por alias o intermediario.</w:t>
      </w:r>
    </w:p>
    <w:p>
      <w:pPr>
        <w:pStyle w:val="ListParagraph"/>
        <w:numPr>
          <w:ilvl w:val="0"/>
          <w:numId w:val="2"/>
        </w:numPr>
        <w:spacing w:before="40" w:after="40"/>
      </w:pPr>
      <w:r>
        <w:rPr>
          <w:rFonts w:ascii="Arial" w:cs="Arial" w:eastAsia="Arial" w:hAnsi="Arial"/>
          <w:color w:val="1A1A2E"/>
          <w:sz w:val="20"/>
          <w:szCs w:val="20"/>
        </w:rPr>
        <w:t xml:space="preserve">KPIs rápidos: capital activo, número de activos, al día y con retraso.</w:t>
      </w:r>
    </w:p>
    <w:p>
      <w:pPr>
        <w:pStyle w:val="ListParagraph"/>
        <w:numPr>
          <w:ilvl w:val="0"/>
          <w:numId w:val="2"/>
        </w:numPr>
        <w:spacing w:before="40" w:after="40"/>
      </w:pPr>
      <w:r>
        <w:rPr>
          <w:rFonts w:ascii="Arial" w:cs="Arial" w:eastAsia="Arial" w:hAnsi="Arial"/>
          <w:color w:val="1A1A2E"/>
          <w:sz w:val="20"/>
          <w:szCs w:val="20"/>
        </w:rPr>
        <w:t xml:space="preserve">Tabla ordenable con alias, tipo de préstamo, importe, interés mensual, LTV, estado calculado e intermediario.</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Vista detalle — KPIs:</w:t>
      </w:r>
    </w:p>
    <w:p>
      <w:pPr>
        <w:pStyle w:val="ListParagraph"/>
        <w:numPr>
          <w:ilvl w:val="0"/>
          <w:numId w:val="2"/>
        </w:numPr>
        <w:spacing w:before="40" w:after="40"/>
      </w:pPr>
      <w:r>
        <w:rPr>
          <w:rFonts w:ascii="Arial" w:cs="Arial" w:eastAsia="Arial" w:hAnsi="Arial"/>
          <w:color w:val="1A1A2E"/>
          <w:sz w:val="20"/>
          <w:szCs w:val="20"/>
        </w:rPr>
        <w:t xml:space="preserve">Principal: importe original del préstamo.</w:t>
      </w:r>
    </w:p>
    <w:p>
      <w:pPr>
        <w:pStyle w:val="ListParagraph"/>
        <w:numPr>
          <w:ilvl w:val="0"/>
          <w:numId w:val="2"/>
        </w:numPr>
        <w:spacing w:before="40" w:after="40"/>
      </w:pPr>
      <w:r>
        <w:rPr>
          <w:rFonts w:ascii="Arial" w:cs="Arial" w:eastAsia="Arial" w:hAnsi="Arial"/>
          <w:color w:val="1A1A2E"/>
          <w:sz w:val="20"/>
          <w:szCs w:val="20"/>
        </w:rPr>
        <w:t xml:space="preserve">Cuota teórica (mensual/trimestral/anual) con desglose de intereses y principal.</w:t>
      </w:r>
    </w:p>
    <w:p>
      <w:pPr>
        <w:pStyle w:val="ListParagraph"/>
        <w:numPr>
          <w:ilvl w:val="0"/>
          <w:numId w:val="2"/>
        </w:numPr>
        <w:spacing w:before="40" w:after="40"/>
      </w:pPr>
      <w:r>
        <w:rPr>
          <w:rFonts w:ascii="Arial" w:cs="Arial" w:eastAsia="Arial" w:hAnsi="Arial"/>
          <w:color w:val="1A1A2E"/>
          <w:sz w:val="20"/>
          <w:szCs w:val="20"/>
        </w:rPr>
        <w:t xml:space="preserve">Duración en meses y día de cobro.</w:t>
      </w:r>
    </w:p>
    <w:p>
      <w:pPr>
        <w:pStyle w:val="ListParagraph"/>
        <w:numPr>
          <w:ilvl w:val="0"/>
          <w:numId w:val="2"/>
        </w:numPr>
        <w:spacing w:before="40" w:after="40"/>
      </w:pPr>
      <w:r>
        <w:rPr>
          <w:rFonts w:ascii="Arial" w:cs="Arial" w:eastAsia="Arial" w:hAnsi="Arial"/>
          <w:color w:val="1A1A2E"/>
          <w:sz w:val="20"/>
          <w:szCs w:val="20"/>
        </w:rPr>
        <w:t xml:space="preserve">LTV con indicador de color según umbral.</w:t>
      </w:r>
    </w:p>
    <w:p>
      <w:pPr>
        <w:pStyle w:val="ListParagraph"/>
        <w:numPr>
          <w:ilvl w:val="0"/>
          <w:numId w:val="2"/>
        </w:numPr>
        <w:spacing w:before="40" w:after="40"/>
      </w:pPr>
      <w:r>
        <w:rPr>
          <w:rFonts w:ascii="Arial" w:cs="Arial" w:eastAsia="Arial" w:hAnsi="Arial"/>
          <w:color w:val="1A1A2E"/>
          <w:sz w:val="20"/>
          <w:szCs w:val="20"/>
        </w:rPr>
        <w:t xml:space="preserve">Total cobrado hasta la fecha.</w:t>
      </w:r>
    </w:p>
    <w:p>
      <w:pPr>
        <w:pStyle w:val="ListParagraph"/>
        <w:numPr>
          <w:ilvl w:val="0"/>
          <w:numId w:val="2"/>
        </w:numPr>
        <w:spacing w:before="40" w:after="40"/>
      </w:pPr>
      <w:r>
        <w:rPr>
          <w:rFonts w:ascii="Arial" w:cs="Arial" w:eastAsia="Arial" w:hAnsi="Arial"/>
          <w:color w:val="1A1A2E"/>
          <w:sz w:val="20"/>
          <w:szCs w:val="20"/>
        </w:rPr>
        <w:t xml:space="preserve">Intereses de demora: histórico (cuotas pagadas con retraso) y acumulado por cuotas vencidas no cobradas.</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Vista detalle — Pestañas:</w:t>
      </w:r>
    </w:p>
    <w:p>
      <w:pPr>
        <w:pStyle w:val="ListParagraph"/>
        <w:numPr>
          <w:ilvl w:val="0"/>
          <w:numId w:val="2"/>
        </w:numPr>
        <w:spacing w:before="40" w:after="40"/>
      </w:pPr>
      <w:r>
        <w:rPr>
          <w:rFonts w:ascii="Arial" w:cs="Arial" w:eastAsia="Arial" w:hAnsi="Arial"/>
          <w:color w:val="1A1A2E"/>
          <w:sz w:val="20"/>
          <w:szCs w:val="20"/>
        </w:rPr>
        <w:t xml:space="preserve">Detalle: condiciones del préstamo (tipo, tasas, fechas, garantía, cliente, intermediario, centro de coste) y datos de cancelación o judicialización si aplica.</w:t>
      </w:r>
    </w:p>
    <w:p>
      <w:pPr>
        <w:pStyle w:val="ListParagraph"/>
        <w:numPr>
          <w:ilvl w:val="0"/>
          <w:numId w:val="2"/>
        </w:numPr>
        <w:spacing w:before="40" w:after="40"/>
      </w:pPr>
      <w:r>
        <w:rPr>
          <w:rFonts w:ascii="Arial" w:cs="Arial" w:eastAsia="Arial" w:hAnsi="Arial"/>
          <w:color w:val="1A1A2E"/>
          <w:sz w:val="20"/>
          <w:szCs w:val="20"/>
        </w:rPr>
        <w:t xml:space="preserve">Calendario teórico: tabla con todos los vencimientos calculados, con columnas de fecha, interés, principal, total y estado (cobrada, parcial, pendiente). Permite editar la fecha de cada cuota y cobrar directamente desde la tabla.</w:t>
      </w:r>
    </w:p>
    <w:p>
      <w:pPr>
        <w:pStyle w:val="ListParagraph"/>
        <w:numPr>
          <w:ilvl w:val="0"/>
          <w:numId w:val="2"/>
        </w:numPr>
        <w:spacing w:before="40" w:after="40"/>
      </w:pPr>
      <w:r>
        <w:rPr>
          <w:rFonts w:ascii="Arial" w:cs="Arial" w:eastAsia="Arial" w:hAnsi="Arial"/>
          <w:color w:val="1A1A2E"/>
          <w:sz w:val="20"/>
          <w:szCs w:val="20"/>
        </w:rPr>
        <w:t xml:space="preserve">Cobros reales: registro de todos los pagos efectivamente recibidos con fecha teórica, fecha real, días de retraso calculados e intereses de demora correspondientes.</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Tipos de préstamo soportados:</w:t>
      </w:r>
    </w:p>
    <w:p>
      <w:pPr>
        <w:pStyle w:val="ListParagraph"/>
        <w:numPr>
          <w:ilvl w:val="0"/>
          <w:numId w:val="2"/>
        </w:numPr>
        <w:spacing w:before="40" w:after="40"/>
      </w:pPr>
      <w:r>
        <w:rPr>
          <w:rFonts w:ascii="Arial" w:cs="Arial" w:eastAsia="Arial" w:hAnsi="Arial"/>
          <w:color w:val="1A1A2E"/>
          <w:sz w:val="20"/>
          <w:szCs w:val="20"/>
        </w:rPr>
        <w:t xml:space="preserve">Americano: el prestatario paga solo intereses cada período y devuelve el capital íntegro en la última cuota.</w:t>
      </w:r>
    </w:p>
    <w:p>
      <w:pPr>
        <w:pStyle w:val="ListParagraph"/>
        <w:numPr>
          <w:ilvl w:val="0"/>
          <w:numId w:val="2"/>
        </w:numPr>
        <w:spacing w:before="40" w:after="40"/>
      </w:pPr>
      <w:r>
        <w:rPr>
          <w:rFonts w:ascii="Arial" w:cs="Arial" w:eastAsia="Arial" w:hAnsi="Arial"/>
          <w:color w:val="1A1A2E"/>
          <w:sz w:val="20"/>
          <w:szCs w:val="20"/>
        </w:rPr>
        <w:t xml:space="preserve">Francés: cuota fija con amortización progresiva. Los intereses decrecen y el principal crece cuota a cuota.</w:t>
      </w:r>
    </w:p>
    <w:p>
      <w:pPr>
        <w:pStyle w:val="ListParagraph"/>
        <w:numPr>
          <w:ilvl w:val="0"/>
          <w:numId w:val="2"/>
        </w:numPr>
        <w:spacing w:before="40" w:after="40"/>
      </w:pPr>
      <w:r>
        <w:rPr>
          <w:rFonts w:ascii="Arial" w:cs="Arial" w:eastAsia="Arial" w:hAnsi="Arial"/>
          <w:color w:val="1A1A2E"/>
          <w:sz w:val="20"/>
          <w:szCs w:val="20"/>
        </w:rPr>
        <w:t xml:space="preserve">Francés con carencia: primera mitad del préstamo solo intereses (carencia); segunda mitad cuota fija de amortización sobre el principal completo.</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val="false"/>
          <w:bCs w:val="false"/>
          <w:i w:val="false"/>
          <w:iCs w:val="false"/>
          <w:color w:val="1A1A2E"/>
          <w:sz w:val="20"/>
          <w:szCs w:val="20"/>
        </w:rPr>
        <w:t xml:space="preserve">Periodicidades: mensual, trimestral y anual. El sistema adapta automáticamente el calendario y los cálculos a la periodicidad seleccionada.</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Estados del préstamo:</w:t>
      </w:r>
    </w:p>
    <w:p>
      <w:pPr>
        <w:pStyle w:val="ListParagraph"/>
        <w:numPr>
          <w:ilvl w:val="0"/>
          <w:numId w:val="2"/>
        </w:numPr>
        <w:spacing w:before="40" w:after="40"/>
      </w:pPr>
      <w:r>
        <w:rPr>
          <w:rFonts w:ascii="Arial" w:cs="Arial" w:eastAsia="Arial" w:hAnsi="Arial"/>
          <w:color w:val="1A1A2E"/>
          <w:sz w:val="20"/>
          <w:szCs w:val="20"/>
        </w:rPr>
        <w:t xml:space="preserve">Activo al día: sin cuotas vencidas impagadas.</w:t>
      </w:r>
    </w:p>
    <w:p>
      <w:pPr>
        <w:pStyle w:val="ListParagraph"/>
        <w:numPr>
          <w:ilvl w:val="0"/>
          <w:numId w:val="2"/>
        </w:numPr>
        <w:spacing w:before="40" w:after="40"/>
      </w:pPr>
      <w:r>
        <w:rPr>
          <w:rFonts w:ascii="Arial" w:cs="Arial" w:eastAsia="Arial" w:hAnsi="Arial"/>
          <w:color w:val="1A1A2E"/>
          <w:sz w:val="20"/>
          <w:szCs w:val="20"/>
        </w:rPr>
        <w:t xml:space="preserve">Activo con retraso: una o más cuotas vencidas con cobro insuficiente.</w:t>
      </w:r>
    </w:p>
    <w:p>
      <w:pPr>
        <w:pStyle w:val="ListParagraph"/>
        <w:numPr>
          <w:ilvl w:val="0"/>
          <w:numId w:val="2"/>
        </w:numPr>
        <w:spacing w:before="40" w:after="40"/>
      </w:pPr>
      <w:r>
        <w:rPr>
          <w:rFonts w:ascii="Arial" w:cs="Arial" w:eastAsia="Arial" w:hAnsi="Arial"/>
          <w:color w:val="1A1A2E"/>
          <w:sz w:val="20"/>
          <w:szCs w:val="20"/>
        </w:rPr>
        <w:t xml:space="preserve">Cancelado: préstamo liquidado anticipadamente. Requiere registrar fecha e importe de cancelación.</w:t>
      </w:r>
    </w:p>
    <w:p>
      <w:pPr>
        <w:pStyle w:val="ListParagraph"/>
        <w:numPr>
          <w:ilvl w:val="0"/>
          <w:numId w:val="2"/>
        </w:numPr>
        <w:spacing w:before="40" w:after="40"/>
      </w:pPr>
      <w:r>
        <w:rPr>
          <w:rFonts w:ascii="Arial" w:cs="Arial" w:eastAsia="Arial" w:hAnsi="Arial"/>
          <w:color w:val="1A1A2E"/>
          <w:sz w:val="20"/>
          <w:szCs w:val="20"/>
        </w:rPr>
        <w:t xml:space="preserve">Judicializado: operación derivada a vía judicial. Requiere fecha de inicio y cuantía reclamada en demanda.</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Acciones disponibles sobre el préstamo:</w:t>
      </w:r>
    </w:p>
    <w:p>
      <w:pPr>
        <w:pStyle w:val="ListParagraph"/>
        <w:numPr>
          <w:ilvl w:val="0"/>
          <w:numId w:val="2"/>
        </w:numPr>
        <w:spacing w:before="40" w:after="40"/>
      </w:pPr>
      <w:r>
        <w:rPr>
          <w:rFonts w:ascii="Arial" w:cs="Arial" w:eastAsia="Arial" w:hAnsi="Arial"/>
          <w:color w:val="1A1A2E"/>
          <w:sz w:val="20"/>
          <w:szCs w:val="20"/>
        </w:rPr>
        <w:t xml:space="preserve">Crear nuevo préstamo con formulario completo.</w:t>
      </w:r>
    </w:p>
    <w:p>
      <w:pPr>
        <w:pStyle w:val="ListParagraph"/>
        <w:numPr>
          <w:ilvl w:val="0"/>
          <w:numId w:val="2"/>
        </w:numPr>
        <w:spacing w:before="40" w:after="40"/>
      </w:pPr>
      <w:r>
        <w:rPr>
          <w:rFonts w:ascii="Arial" w:cs="Arial" w:eastAsia="Arial" w:hAnsi="Arial"/>
          <w:color w:val="1A1A2E"/>
          <w:sz w:val="20"/>
          <w:szCs w:val="20"/>
        </w:rPr>
        <w:t xml:space="preserve">Editar todos los campos del préstamo.</w:t>
      </w:r>
    </w:p>
    <w:p>
      <w:pPr>
        <w:pStyle w:val="ListParagraph"/>
        <w:numPr>
          <w:ilvl w:val="0"/>
          <w:numId w:val="2"/>
        </w:numPr>
        <w:spacing w:before="40" w:after="40"/>
      </w:pPr>
      <w:r>
        <w:rPr>
          <w:rFonts w:ascii="Arial" w:cs="Arial" w:eastAsia="Arial" w:hAnsi="Arial"/>
          <w:color w:val="1A1A2E"/>
          <w:sz w:val="20"/>
          <w:szCs w:val="20"/>
        </w:rPr>
        <w:t xml:space="preserve">Registrar cobro de cuota individual (modal con fecha e importe, con generación automática de devengados a partícipes).</w:t>
      </w:r>
    </w:p>
    <w:p>
      <w:pPr>
        <w:pStyle w:val="ListParagraph"/>
        <w:numPr>
          <w:ilvl w:val="0"/>
          <w:numId w:val="2"/>
        </w:numPr>
        <w:spacing w:before="40" w:after="40"/>
      </w:pPr>
      <w:r>
        <w:rPr>
          <w:rFonts w:ascii="Arial" w:cs="Arial" w:eastAsia="Arial" w:hAnsi="Arial"/>
          <w:color w:val="1A1A2E"/>
          <w:sz w:val="20"/>
          <w:szCs w:val="20"/>
        </w:rPr>
        <w:t xml:space="preserve">Cobro rápido: marcar una cuota como cobrada directamente desde el calendario sin abrir modal.</w:t>
      </w:r>
    </w:p>
    <w:p>
      <w:pPr>
        <w:pStyle w:val="ListParagraph"/>
        <w:numPr>
          <w:ilvl w:val="0"/>
          <w:numId w:val="2"/>
        </w:numPr>
        <w:spacing w:before="40" w:after="40"/>
      </w:pPr>
      <w:r>
        <w:rPr>
          <w:rFonts w:ascii="Arial" w:cs="Arial" w:eastAsia="Arial" w:hAnsi="Arial"/>
          <w:color w:val="1A1A2E"/>
          <w:sz w:val="20"/>
          <w:szCs w:val="20"/>
        </w:rPr>
        <w:t xml:space="preserve">Edición de fecha de cuota: override temporal de la fecha de vencimiento para una cuota específica.</w:t>
      </w:r>
    </w:p>
    <w:p>
      <w:pPr>
        <w:pStyle w:val="ListParagraph"/>
        <w:numPr>
          <w:ilvl w:val="0"/>
          <w:numId w:val="2"/>
        </w:numPr>
        <w:spacing w:before="40" w:after="40"/>
      </w:pPr>
      <w:r>
        <w:rPr>
          <w:rFonts w:ascii="Arial" w:cs="Arial" w:eastAsia="Arial" w:hAnsi="Arial"/>
          <w:color w:val="1A1A2E"/>
          <w:sz w:val="20"/>
          <w:szCs w:val="20"/>
        </w:rPr>
        <w:t xml:space="preserve">Cancelar préstamo con registro de fecha e importe de liquidación.</w:t>
      </w:r>
    </w:p>
    <w:p>
      <w:pPr>
        <w:pStyle w:val="ListParagraph"/>
        <w:numPr>
          <w:ilvl w:val="0"/>
          <w:numId w:val="2"/>
        </w:numPr>
        <w:spacing w:before="40" w:after="40"/>
      </w:pPr>
      <w:r>
        <w:rPr>
          <w:rFonts w:ascii="Arial" w:cs="Arial" w:eastAsia="Arial" w:hAnsi="Arial"/>
          <w:color w:val="1A1A2E"/>
          <w:sz w:val="20"/>
          <w:szCs w:val="20"/>
        </w:rPr>
        <w:t xml:space="preserve">Judicializar préstamo con fecha e importe de demanda.</w:t>
      </w:r>
    </w:p>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2.6 Cobros</w:t>
      </w:r>
    </w:p>
    <w:p>
      <w:pPr>
        <w:spacing w:before="80" w:after="80" w:line="276" w:lineRule="auto"/>
        <w:jc w:val="left"/>
      </w:pPr>
      <w:r>
        <w:rPr>
          <w:rFonts w:ascii="Arial" w:cs="Arial" w:eastAsia="Arial" w:hAnsi="Arial"/>
          <w:b w:val="false"/>
          <w:bCs w:val="false"/>
          <w:i w:val="false"/>
          <w:iCs w:val="false"/>
          <w:color w:val="1A1A2E"/>
          <w:sz w:val="20"/>
          <w:szCs w:val="20"/>
        </w:rPr>
        <w:t xml:space="preserve">Vista global de todos los pagos registrados en el sistema, independientemente del préstamo.</w:t>
      </w:r>
    </w:p>
    <w:p>
      <w:pPr>
        <w:pStyle w:val="ListParagraph"/>
        <w:numPr>
          <w:ilvl w:val="0"/>
          <w:numId w:val="2"/>
        </w:numPr>
        <w:spacing w:before="40" w:after="40"/>
      </w:pPr>
      <w:r>
        <w:rPr>
          <w:rFonts w:ascii="Arial" w:cs="Arial" w:eastAsia="Arial" w:hAnsi="Arial"/>
          <w:color w:val="1A1A2E"/>
          <w:sz w:val="20"/>
          <w:szCs w:val="20"/>
        </w:rPr>
        <w:t xml:space="preserve">KPIs: total cobrado, total de pagos de cuota y total de cancelaciones.</w:t>
      </w:r>
    </w:p>
    <w:p>
      <w:pPr>
        <w:pStyle w:val="ListParagraph"/>
        <w:numPr>
          <w:ilvl w:val="0"/>
          <w:numId w:val="2"/>
        </w:numPr>
        <w:spacing w:before="40" w:after="40"/>
      </w:pPr>
      <w:r>
        <w:rPr>
          <w:rFonts w:ascii="Arial" w:cs="Arial" w:eastAsia="Arial" w:hAnsi="Arial"/>
          <w:color w:val="1A1A2E"/>
          <w:sz w:val="20"/>
          <w:szCs w:val="20"/>
        </w:rPr>
        <w:t xml:space="preserve">Historial completo de cobros con filtro por cliente y búsqueda por préstamo.</w:t>
      </w:r>
    </w:p>
    <w:p>
      <w:pPr>
        <w:pStyle w:val="ListParagraph"/>
        <w:numPr>
          <w:ilvl w:val="0"/>
          <w:numId w:val="2"/>
        </w:numPr>
        <w:spacing w:before="40" w:after="40"/>
      </w:pPr>
      <w:r>
        <w:rPr>
          <w:rFonts w:ascii="Arial" w:cs="Arial" w:eastAsia="Arial" w:hAnsi="Arial"/>
          <w:color w:val="1A1A2E"/>
          <w:sz w:val="20"/>
          <w:szCs w:val="20"/>
        </w:rPr>
        <w:t xml:space="preserve">Cada registro muestra: préstamo, cliente, número de cuota, fecha teórica, fecha real, importe, tipo (pago cuota / cancelación) y notas.</w:t>
      </w:r>
    </w:p>
    <w:p>
      <w:pPr>
        <w:pStyle w:val="ListParagraph"/>
        <w:numPr>
          <w:ilvl w:val="0"/>
          <w:numId w:val="2"/>
        </w:numPr>
        <w:spacing w:before="40" w:after="40"/>
      </w:pPr>
      <w:r>
        <w:rPr>
          <w:rFonts w:ascii="Arial" w:cs="Arial" w:eastAsia="Arial" w:hAnsi="Arial"/>
          <w:color w:val="1A1A2E"/>
          <w:sz w:val="20"/>
          <w:szCs w:val="20"/>
        </w:rPr>
        <w:t xml:space="preserve">Tabla ordenable por cualquier columna.</w:t>
      </w:r>
    </w:p>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2.7 Partícipes</w:t>
      </w:r>
    </w:p>
    <w:p>
      <w:pPr>
        <w:spacing w:before="80" w:after="80" w:line="276" w:lineRule="auto"/>
        <w:jc w:val="left"/>
      </w:pPr>
      <w:r>
        <w:rPr>
          <w:rFonts w:ascii="Arial" w:cs="Arial" w:eastAsia="Arial" w:hAnsi="Arial"/>
          <w:b w:val="false"/>
          <w:bCs w:val="false"/>
          <w:i w:val="false"/>
          <w:iCs w:val="false"/>
          <w:color w:val="1A1A2E"/>
          <w:sz w:val="20"/>
          <w:szCs w:val="20"/>
        </w:rPr>
        <w:t xml:space="preserve">Registro de los inversores que co-financian los préstamos mediante contratos de Cuenta en Participación (CCP).</w:t>
      </w:r>
    </w:p>
    <w:p>
      <w:pPr>
        <w:pStyle w:val="ListParagraph"/>
        <w:numPr>
          <w:ilvl w:val="0"/>
          <w:numId w:val="2"/>
        </w:numPr>
        <w:spacing w:before="40" w:after="40"/>
      </w:pPr>
      <w:r>
        <w:rPr>
          <w:rFonts w:ascii="Arial" w:cs="Arial" w:eastAsia="Arial" w:hAnsi="Arial"/>
          <w:color w:val="1A1A2E"/>
          <w:sz w:val="20"/>
          <w:szCs w:val="20"/>
        </w:rPr>
        <w:t xml:space="preserve">CRUD completo de partícipes con nombre, NIF, tipo (persona física/empresa), teléfono, email, dirección, centro de coste y fecha de alta.</w:t>
      </w:r>
    </w:p>
    <w:p>
      <w:pPr>
        <w:pStyle w:val="ListParagraph"/>
        <w:numPr>
          <w:ilvl w:val="0"/>
          <w:numId w:val="2"/>
        </w:numPr>
        <w:spacing w:before="40" w:after="40"/>
      </w:pPr>
      <w:r>
        <w:rPr>
          <w:rFonts w:ascii="Arial" w:cs="Arial" w:eastAsia="Arial" w:hAnsi="Arial"/>
          <w:color w:val="1A1A2E"/>
          <w:sz w:val="20"/>
          <w:szCs w:val="20"/>
        </w:rPr>
        <w:t xml:space="preserve">Estado activo/inactivo por partícipe.</w:t>
      </w:r>
    </w:p>
    <w:p>
      <w:pPr>
        <w:pStyle w:val="ListParagraph"/>
        <w:numPr>
          <w:ilvl w:val="0"/>
          <w:numId w:val="2"/>
        </w:numPr>
        <w:spacing w:before="40" w:after="40"/>
      </w:pPr>
      <w:r>
        <w:rPr>
          <w:rFonts w:ascii="Arial" w:cs="Arial" w:eastAsia="Arial" w:hAnsi="Arial"/>
          <w:color w:val="1A1A2E"/>
          <w:sz w:val="20"/>
          <w:szCs w:val="20"/>
        </w:rPr>
        <w:t xml:space="preserve">Vista listado con número de contratos CCP asociados.</w:t>
      </w:r>
    </w:p>
    <w:p>
      <w:pPr>
        <w:pStyle w:val="ListParagraph"/>
        <w:numPr>
          <w:ilvl w:val="0"/>
          <w:numId w:val="2"/>
        </w:numPr>
        <w:spacing w:before="40" w:after="40"/>
      </w:pPr>
      <w:r>
        <w:rPr>
          <w:rFonts w:ascii="Arial" w:cs="Arial" w:eastAsia="Arial" w:hAnsi="Arial"/>
          <w:color w:val="1A1A2E"/>
          <w:sz w:val="20"/>
          <w:szCs w:val="20"/>
        </w:rPr>
        <w:t xml:space="preserve">Vista detalle con ficha completa y tabla de todos sus contratos CCP (préstamo vinculado, fecha de firma, importe, % participación, % gestión y estado).</w:t>
      </w:r>
    </w:p>
    <w:p>
      <w:pPr>
        <w:pStyle w:val="ListParagraph"/>
        <w:numPr>
          <w:ilvl w:val="0"/>
          <w:numId w:val="2"/>
        </w:numPr>
        <w:spacing w:before="40" w:after="40"/>
      </w:pPr>
      <w:r>
        <w:rPr>
          <w:rFonts w:ascii="Arial" w:cs="Arial" w:eastAsia="Arial" w:hAnsi="Arial"/>
          <w:color w:val="1A1A2E"/>
          <w:sz w:val="20"/>
          <w:szCs w:val="20"/>
        </w:rPr>
        <w:t xml:space="preserve">Navegación directa a la sección de Contratos CCP.</w:t>
      </w:r>
    </w:p>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2.8 Contratos CCP</w:t>
      </w:r>
    </w:p>
    <w:p>
      <w:pPr>
        <w:spacing w:before="80" w:after="80" w:line="276" w:lineRule="auto"/>
        <w:jc w:val="left"/>
      </w:pPr>
      <w:r>
        <w:rPr>
          <w:rFonts w:ascii="Arial" w:cs="Arial" w:eastAsia="Arial" w:hAnsi="Arial"/>
          <w:b w:val="false"/>
          <w:bCs w:val="false"/>
          <w:i w:val="false"/>
          <w:iCs w:val="false"/>
          <w:color w:val="1A1A2E"/>
          <w:sz w:val="20"/>
          <w:szCs w:val="20"/>
        </w:rPr>
        <w:t xml:space="preserve">Gestión de los contratos de Cuenta en Participación mediante los cuales un partícipe aporta capital para financiar parte de un préstamo, recibiendo a cambio una rentabilidad proporcional.</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Datos del contrato:</w:t>
      </w:r>
    </w:p>
    <w:p>
      <w:pPr>
        <w:pStyle w:val="ListParagraph"/>
        <w:numPr>
          <w:ilvl w:val="0"/>
          <w:numId w:val="2"/>
        </w:numPr>
        <w:spacing w:before="40" w:after="40"/>
      </w:pPr>
      <w:r>
        <w:rPr>
          <w:rFonts w:ascii="Arial" w:cs="Arial" w:eastAsia="Arial" w:hAnsi="Arial"/>
          <w:color w:val="1A1A2E"/>
          <w:sz w:val="20"/>
          <w:szCs w:val="20"/>
        </w:rPr>
        <w:t xml:space="preserve">Partícipe e importe de su participación.</w:t>
      </w:r>
    </w:p>
    <w:p>
      <w:pPr>
        <w:pStyle w:val="ListParagraph"/>
        <w:numPr>
          <w:ilvl w:val="0"/>
          <w:numId w:val="2"/>
        </w:numPr>
        <w:spacing w:before="40" w:after="40"/>
      </w:pPr>
      <w:r>
        <w:rPr>
          <w:rFonts w:ascii="Arial" w:cs="Arial" w:eastAsia="Arial" w:hAnsi="Arial"/>
          <w:color w:val="1A1A2E"/>
          <w:sz w:val="20"/>
          <w:szCs w:val="20"/>
        </w:rPr>
        <w:t xml:space="preserve">Préstamo al que está vinculado.</w:t>
      </w:r>
    </w:p>
    <w:p>
      <w:pPr>
        <w:pStyle w:val="ListParagraph"/>
        <w:numPr>
          <w:ilvl w:val="0"/>
          <w:numId w:val="2"/>
        </w:numPr>
        <w:spacing w:before="40" w:after="40"/>
      </w:pPr>
      <w:r>
        <w:rPr>
          <w:rFonts w:ascii="Arial" w:cs="Arial" w:eastAsia="Arial" w:hAnsi="Arial"/>
          <w:color w:val="1A1A2E"/>
          <w:sz w:val="20"/>
          <w:szCs w:val="20"/>
        </w:rPr>
        <w:t xml:space="preserve">Fecha de firma del contrato.</w:t>
      </w:r>
    </w:p>
    <w:p>
      <w:pPr>
        <w:pStyle w:val="ListParagraph"/>
        <w:numPr>
          <w:ilvl w:val="0"/>
          <w:numId w:val="2"/>
        </w:numPr>
        <w:spacing w:before="40" w:after="40"/>
      </w:pPr>
      <w:r>
        <w:rPr>
          <w:rFonts w:ascii="Arial" w:cs="Arial" w:eastAsia="Arial" w:hAnsi="Arial"/>
          <w:color w:val="1A1A2E"/>
          <w:sz w:val="20"/>
          <w:szCs w:val="20"/>
        </w:rPr>
        <w:t xml:space="preserve">Porcentaje de participación sobre el préstamo total.</w:t>
      </w:r>
    </w:p>
    <w:p>
      <w:pPr>
        <w:pStyle w:val="ListParagraph"/>
        <w:numPr>
          <w:ilvl w:val="0"/>
          <w:numId w:val="2"/>
        </w:numPr>
        <w:spacing w:before="40" w:after="40"/>
      </w:pPr>
      <w:r>
        <w:rPr>
          <w:rFonts w:ascii="Arial" w:cs="Arial" w:eastAsia="Arial" w:hAnsi="Arial"/>
          <w:color w:val="1A1A2E"/>
          <w:sz w:val="20"/>
          <w:szCs w:val="20"/>
        </w:rPr>
        <w:t xml:space="preserve">Porcentaje de gestión que retiene la empresa (se deduce del beneficio bruto).</w:t>
      </w:r>
    </w:p>
    <w:p>
      <w:pPr>
        <w:pStyle w:val="ListParagraph"/>
        <w:numPr>
          <w:ilvl w:val="0"/>
          <w:numId w:val="2"/>
        </w:numPr>
        <w:spacing w:before="40" w:after="40"/>
      </w:pPr>
      <w:r>
        <w:rPr>
          <w:rFonts w:ascii="Arial" w:cs="Arial" w:eastAsia="Arial" w:hAnsi="Arial"/>
          <w:color w:val="1A1A2E"/>
          <w:sz w:val="20"/>
          <w:szCs w:val="20"/>
        </w:rPr>
        <w:t xml:space="preserve">Estado activo/inactivo.</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Calendario CCP generado automáticamente:</w:t>
      </w:r>
    </w:p>
    <w:p>
      <w:pPr>
        <w:spacing w:before="80" w:after="80" w:line="276" w:lineRule="auto"/>
        <w:jc w:val="left"/>
      </w:pPr>
      <w:r>
        <w:rPr>
          <w:rFonts w:ascii="Arial" w:cs="Arial" w:eastAsia="Arial" w:hAnsi="Arial"/>
          <w:b w:val="false"/>
          <w:bCs w:val="false"/>
          <w:i w:val="false"/>
          <w:iCs w:val="false"/>
          <w:color w:val="1A1A2E"/>
          <w:sz w:val="20"/>
          <w:szCs w:val="20"/>
        </w:rPr>
        <w:t xml:space="preserve">El sistema genera un calendario de cobros teórico para el partícipe, tomando como base el calendario del préstamo subyacente y aplicando las siguientes reglas:</w:t>
      </w:r>
    </w:p>
    <w:p>
      <w:pPr>
        <w:pStyle w:val="ListParagraph"/>
        <w:numPr>
          <w:ilvl w:val="0"/>
          <w:numId w:val="2"/>
        </w:numPr>
        <w:spacing w:before="40" w:after="40"/>
      </w:pPr>
      <w:r>
        <w:rPr>
          <w:rFonts w:ascii="Arial" w:cs="Arial" w:eastAsia="Arial" w:hAnsi="Arial"/>
          <w:color w:val="1A1A2E"/>
          <w:sz w:val="20"/>
          <w:szCs w:val="20"/>
        </w:rPr>
        <w:t xml:space="preserve">Se ignoran las cuotas del préstamo anteriores a la fecha de firma del contrato.</w:t>
      </w:r>
    </w:p>
    <w:p>
      <w:pPr>
        <w:pStyle w:val="ListParagraph"/>
        <w:numPr>
          <w:ilvl w:val="0"/>
          <w:numId w:val="2"/>
        </w:numPr>
        <w:spacing w:before="40" w:after="40"/>
      </w:pPr>
      <w:r>
        <w:rPr>
          <w:rFonts w:ascii="Arial" w:cs="Arial" w:eastAsia="Arial" w:hAnsi="Arial"/>
          <w:color w:val="1A1A2E"/>
          <w:sz w:val="20"/>
          <w:szCs w:val="20"/>
        </w:rPr>
        <w:t xml:space="preserve">Primera cuota del partícipe: se calcula de forma proporcional según los días transcurridos entre la firma y el día de cobro del préstamo (casos: firma antes, en o después del día de cobro).</w:t>
      </w:r>
    </w:p>
    <w:p>
      <w:pPr>
        <w:pStyle w:val="ListParagraph"/>
        <w:numPr>
          <w:ilvl w:val="0"/>
          <w:numId w:val="2"/>
        </w:numPr>
        <w:spacing w:before="40" w:after="40"/>
      </w:pPr>
      <w:r>
        <w:rPr>
          <w:rFonts w:ascii="Arial" w:cs="Arial" w:eastAsia="Arial" w:hAnsi="Arial"/>
          <w:color w:val="1A1A2E"/>
          <w:sz w:val="20"/>
          <w:szCs w:val="20"/>
        </w:rPr>
        <w:t xml:space="preserve">Segunda cuota: proporcional si la firma fue posterior al día de cobro, completa en caso contrario.</w:t>
      </w:r>
    </w:p>
    <w:p>
      <w:pPr>
        <w:pStyle w:val="ListParagraph"/>
        <w:numPr>
          <w:ilvl w:val="0"/>
          <w:numId w:val="2"/>
        </w:numPr>
        <w:spacing w:before="40" w:after="40"/>
      </w:pPr>
      <w:r>
        <w:rPr>
          <w:rFonts w:ascii="Arial" w:cs="Arial" w:eastAsia="Arial" w:hAnsi="Arial"/>
          <w:color w:val="1A1A2E"/>
          <w:sz w:val="20"/>
          <w:szCs w:val="20"/>
        </w:rPr>
        <w:t xml:space="preserve">Cuotas sucesivas: importe completo.</w:t>
      </w:r>
    </w:p>
    <w:p>
      <w:pPr>
        <w:pStyle w:val="ListParagraph"/>
        <w:numPr>
          <w:ilvl w:val="0"/>
          <w:numId w:val="2"/>
        </w:numPr>
        <w:spacing w:before="40" w:after="40"/>
      </w:pPr>
      <w:r>
        <w:rPr>
          <w:rFonts w:ascii="Arial" w:cs="Arial" w:eastAsia="Arial" w:hAnsi="Arial"/>
          <w:color w:val="1A1A2E"/>
          <w:sz w:val="20"/>
          <w:szCs w:val="20"/>
        </w:rPr>
        <w:t xml:space="preserve">Fecha de cobro del partícipe: día 10 del mes siguiente a cada cuota del préstamo.</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Para cada cuota del calendario se muestra:</w:t>
      </w:r>
    </w:p>
    <w:p>
      <w:pPr>
        <w:pStyle w:val="ListParagraph"/>
        <w:numPr>
          <w:ilvl w:val="0"/>
          <w:numId w:val="2"/>
        </w:numPr>
        <w:spacing w:before="40" w:after="40"/>
      </w:pPr>
      <w:r>
        <w:rPr>
          <w:rFonts w:ascii="Arial" w:cs="Arial" w:eastAsia="Arial" w:hAnsi="Arial"/>
          <w:color w:val="1A1A2E"/>
          <w:sz w:val="20"/>
          <w:szCs w:val="20"/>
        </w:rPr>
        <w:t xml:space="preserve">Beneficio bruto: porción proporcional de los intereses ordinarios del préstamo.</w:t>
      </w:r>
    </w:p>
    <w:p>
      <w:pPr>
        <w:pStyle w:val="ListParagraph"/>
        <w:numPr>
          <w:ilvl w:val="0"/>
          <w:numId w:val="2"/>
        </w:numPr>
        <w:spacing w:before="40" w:after="40"/>
      </w:pPr>
      <w:r>
        <w:rPr>
          <w:rFonts w:ascii="Arial" w:cs="Arial" w:eastAsia="Arial" w:hAnsi="Arial"/>
          <w:color w:val="1A1A2E"/>
          <w:sz w:val="20"/>
          <w:szCs w:val="20"/>
        </w:rPr>
        <w:t xml:space="preserve">Comisión de gestión: porcentaje de gestión sobre el beneficio.</w:t>
      </w:r>
    </w:p>
    <w:p>
      <w:pPr>
        <w:pStyle w:val="ListParagraph"/>
        <w:numPr>
          <w:ilvl w:val="0"/>
          <w:numId w:val="2"/>
        </w:numPr>
        <w:spacing w:before="40" w:after="40"/>
      </w:pPr>
      <w:r>
        <w:rPr>
          <w:rFonts w:ascii="Arial" w:cs="Arial" w:eastAsia="Arial" w:hAnsi="Arial"/>
          <w:color w:val="1A1A2E"/>
          <w:sz w:val="20"/>
          <w:szCs w:val="20"/>
        </w:rPr>
        <w:t xml:space="preserve">Base imponible: beneficio bruto menos gestión.</w:t>
      </w:r>
    </w:p>
    <w:p>
      <w:pPr>
        <w:pStyle w:val="ListParagraph"/>
        <w:numPr>
          <w:ilvl w:val="0"/>
          <w:numId w:val="2"/>
        </w:numPr>
        <w:spacing w:before="40" w:after="40"/>
      </w:pPr>
      <w:r>
        <w:rPr>
          <w:rFonts w:ascii="Arial" w:cs="Arial" w:eastAsia="Arial" w:hAnsi="Arial"/>
          <w:color w:val="1A1A2E"/>
          <w:sz w:val="20"/>
          <w:szCs w:val="20"/>
        </w:rPr>
        <w:t xml:space="preserve">Retención IRPF: calculada sobre la base (porcentaje configurable globalmente).</w:t>
      </w:r>
    </w:p>
    <w:p>
      <w:pPr>
        <w:pStyle w:val="ListParagraph"/>
        <w:numPr>
          <w:ilvl w:val="0"/>
          <w:numId w:val="2"/>
        </w:numPr>
        <w:spacing w:before="40" w:after="40"/>
      </w:pPr>
      <w:r>
        <w:rPr>
          <w:rFonts w:ascii="Arial" w:cs="Arial" w:eastAsia="Arial" w:hAnsi="Arial"/>
          <w:color w:val="1A1A2E"/>
          <w:sz w:val="20"/>
          <w:szCs w:val="20"/>
        </w:rPr>
        <w:t xml:space="preserve">Importe neto a cobrar por el partícipe.</w:t>
      </w:r>
    </w:p>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2.9 Pagos a Partícipes</w:t>
      </w:r>
    </w:p>
    <w:p>
      <w:pPr>
        <w:spacing w:before="80" w:after="80" w:line="276" w:lineRule="auto"/>
        <w:jc w:val="left"/>
      </w:pPr>
      <w:r>
        <w:rPr>
          <w:rFonts w:ascii="Arial" w:cs="Arial" w:eastAsia="Arial" w:hAnsi="Arial"/>
          <w:b w:val="false"/>
          <w:bCs w:val="false"/>
          <w:i w:val="false"/>
          <w:iCs w:val="false"/>
          <w:color w:val="1A1A2E"/>
          <w:sz w:val="20"/>
          <w:szCs w:val="20"/>
        </w:rPr>
        <w:t xml:space="preserve">Registro de los pagos efectivamente realizados a los partícipes, generados automáticamente cuando se cobra una cuota de préstamo con contratos CCP activos, o registrables manualmente.</w:t>
      </w:r>
    </w:p>
    <w:p>
      <w:pPr>
        <w:pStyle w:val="ListParagraph"/>
        <w:numPr>
          <w:ilvl w:val="0"/>
          <w:numId w:val="2"/>
        </w:numPr>
        <w:spacing w:before="40" w:after="40"/>
      </w:pPr>
      <w:r>
        <w:rPr>
          <w:rFonts w:ascii="Arial" w:cs="Arial" w:eastAsia="Arial" w:hAnsi="Arial"/>
          <w:color w:val="1A1A2E"/>
          <w:sz w:val="20"/>
          <w:szCs w:val="20"/>
        </w:rPr>
        <w:t xml:space="preserve">Vista global de todos los pagos pendientes y realizados.</w:t>
      </w:r>
    </w:p>
    <w:p>
      <w:pPr>
        <w:pStyle w:val="ListParagraph"/>
        <w:numPr>
          <w:ilvl w:val="0"/>
          <w:numId w:val="2"/>
        </w:numPr>
        <w:spacing w:before="40" w:after="40"/>
      </w:pPr>
      <w:r>
        <w:rPr>
          <w:rFonts w:ascii="Arial" w:cs="Arial" w:eastAsia="Arial" w:hAnsi="Arial"/>
          <w:color w:val="1A1A2E"/>
          <w:sz w:val="20"/>
          <w:szCs w:val="20"/>
        </w:rPr>
        <w:t xml:space="preserve">Filtros por partícipe, estado (pendiente/pagado) y período.</w:t>
      </w:r>
    </w:p>
    <w:p>
      <w:pPr>
        <w:pStyle w:val="ListParagraph"/>
        <w:numPr>
          <w:ilvl w:val="0"/>
          <w:numId w:val="2"/>
        </w:numPr>
        <w:spacing w:before="40" w:after="40"/>
      </w:pPr>
      <w:r>
        <w:rPr>
          <w:rFonts w:ascii="Arial" w:cs="Arial" w:eastAsia="Arial" w:hAnsi="Arial"/>
          <w:color w:val="1A1A2E"/>
          <w:sz w:val="20"/>
          <w:szCs w:val="20"/>
        </w:rPr>
        <w:t xml:space="preserve">Cada registro muestra: partícipe, préstamo, cuota número, importe neto, IRPF retenido, fecha devengada y fecha de pago real.</w:t>
      </w:r>
    </w:p>
    <w:p>
      <w:pPr>
        <w:pStyle w:val="ListParagraph"/>
        <w:numPr>
          <w:ilvl w:val="0"/>
          <w:numId w:val="2"/>
        </w:numPr>
        <w:spacing w:before="40" w:after="40"/>
      </w:pPr>
      <w:r>
        <w:rPr>
          <w:rFonts w:ascii="Arial" w:cs="Arial" w:eastAsia="Arial" w:hAnsi="Arial"/>
          <w:color w:val="1A1A2E"/>
          <w:sz w:val="20"/>
          <w:szCs w:val="20"/>
        </w:rPr>
        <w:t xml:space="preserve">Marcado de pago como realizado con registro de fecha efectiva.</w:t>
      </w:r>
    </w:p>
    <w:p>
      <w:pPr>
        <w:pStyle w:val="ListParagraph"/>
        <w:numPr>
          <w:ilvl w:val="0"/>
          <w:numId w:val="2"/>
        </w:numPr>
        <w:spacing w:before="40" w:after="40"/>
      </w:pPr>
      <w:r>
        <w:rPr>
          <w:rFonts w:ascii="Arial" w:cs="Arial" w:eastAsia="Arial" w:hAnsi="Arial"/>
          <w:color w:val="1A1A2E"/>
          <w:sz w:val="20"/>
          <w:szCs w:val="20"/>
        </w:rPr>
        <w:t xml:space="preserve">Los devengados se generan automáticamente en el momento de cobrar una cuota del préstamo si existe algún contrato CCP activo vinculado.</w:t>
      </w:r>
    </w:p>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2.10 Estadísticas de Dirección</w:t>
      </w:r>
    </w:p>
    <w:p>
      <w:pPr>
        <w:spacing w:before="80" w:after="80" w:line="276" w:lineRule="auto"/>
        <w:jc w:val="left"/>
      </w:pPr>
      <w:r>
        <w:rPr>
          <w:rFonts w:ascii="Arial" w:cs="Arial" w:eastAsia="Arial" w:hAnsi="Arial"/>
          <w:b w:val="false"/>
          <w:bCs w:val="false"/>
          <w:i w:val="false"/>
          <w:iCs w:val="false"/>
          <w:color w:val="1A1A2E"/>
          <w:sz w:val="20"/>
          <w:szCs w:val="20"/>
        </w:rPr>
        <w:t xml:space="preserve">Panel de análisis de solo lectura orientado a la toma de decisiones por parte de dirección. Todos los datos se calculan dinámicamente en el momento de acceso.</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KPIs de dirección:</w:t>
      </w:r>
    </w:p>
    <w:p>
      <w:pPr>
        <w:pStyle w:val="ListParagraph"/>
        <w:numPr>
          <w:ilvl w:val="0"/>
          <w:numId w:val="2"/>
        </w:numPr>
        <w:spacing w:before="40" w:after="40"/>
      </w:pPr>
      <w:r>
        <w:rPr>
          <w:rFonts w:ascii="Arial" w:cs="Arial" w:eastAsia="Arial" w:hAnsi="Arial"/>
          <w:color w:val="1A1A2E"/>
          <w:sz w:val="20"/>
          <w:szCs w:val="20"/>
        </w:rPr>
        <w:t xml:space="preserve">Capital total desplegado en préstamos activos.</w:t>
      </w:r>
    </w:p>
    <w:p>
      <w:pPr>
        <w:pStyle w:val="ListParagraph"/>
        <w:numPr>
          <w:ilvl w:val="0"/>
          <w:numId w:val="2"/>
        </w:numPr>
        <w:spacing w:before="40" w:after="40"/>
      </w:pPr>
      <w:r>
        <w:rPr>
          <w:rFonts w:ascii="Arial" w:cs="Arial" w:eastAsia="Arial" w:hAnsi="Arial"/>
          <w:color w:val="1A1A2E"/>
          <w:sz w:val="20"/>
          <w:szCs w:val="20"/>
        </w:rPr>
        <w:t xml:space="preserve">LTV medio ponderado de la cartera (umbral de referencia: 40%).</w:t>
      </w:r>
    </w:p>
    <w:p>
      <w:pPr>
        <w:pStyle w:val="ListParagraph"/>
        <w:numPr>
          <w:ilvl w:val="0"/>
          <w:numId w:val="2"/>
        </w:numPr>
        <w:spacing w:before="40" w:after="40"/>
      </w:pPr>
      <w:r>
        <w:rPr>
          <w:rFonts w:ascii="Arial" w:cs="Arial" w:eastAsia="Arial" w:hAnsi="Arial"/>
          <w:color w:val="1A1A2E"/>
          <w:sz w:val="20"/>
          <w:szCs w:val="20"/>
        </w:rPr>
        <w:t xml:space="preserve">Rentabilidad media: interés ordinario ponderado por importe.</w:t>
      </w:r>
    </w:p>
    <w:p>
      <w:pPr>
        <w:pStyle w:val="ListParagraph"/>
        <w:numPr>
          <w:ilvl w:val="0"/>
          <w:numId w:val="2"/>
        </w:numPr>
        <w:spacing w:before="40" w:after="40"/>
      </w:pPr>
      <w:r>
        <w:rPr>
          <w:rFonts w:ascii="Arial" w:cs="Arial" w:eastAsia="Arial" w:hAnsi="Arial"/>
          <w:color w:val="1A1A2E"/>
          <w:sz w:val="20"/>
          <w:szCs w:val="20"/>
        </w:rPr>
        <w:t xml:space="preserve">Número y porcentaje de préstamos judicializados.</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Métricas adicionales:</w:t>
      </w:r>
    </w:p>
    <w:p>
      <w:pPr>
        <w:pStyle w:val="ListParagraph"/>
        <w:numPr>
          <w:ilvl w:val="0"/>
          <w:numId w:val="2"/>
        </w:numPr>
        <w:spacing w:before="40" w:after="40"/>
      </w:pPr>
      <w:r>
        <w:rPr>
          <w:rFonts w:ascii="Arial" w:cs="Arial" w:eastAsia="Arial" w:hAnsi="Arial"/>
          <w:color w:val="1A1A2E"/>
          <w:sz w:val="20"/>
          <w:szCs w:val="20"/>
        </w:rPr>
        <w:t xml:space="preserve">Número total de operaciones en la cartera histórica.</w:t>
      </w:r>
    </w:p>
    <w:p>
      <w:pPr>
        <w:pStyle w:val="ListParagraph"/>
        <w:numPr>
          <w:ilvl w:val="0"/>
          <w:numId w:val="2"/>
        </w:numPr>
        <w:spacing w:before="40" w:after="40"/>
      </w:pPr>
      <w:r>
        <w:rPr>
          <w:rFonts w:ascii="Arial" w:cs="Arial" w:eastAsia="Arial" w:hAnsi="Arial"/>
          <w:color w:val="1A1A2E"/>
          <w:sz w:val="20"/>
          <w:szCs w:val="20"/>
        </w:rPr>
        <w:t xml:space="preserve">Capital en préstamos cancelados y judicializados.</w:t>
      </w:r>
    </w:p>
    <w:p>
      <w:pPr>
        <w:pStyle w:val="ListParagraph"/>
        <w:numPr>
          <w:ilvl w:val="0"/>
          <w:numId w:val="2"/>
        </w:numPr>
        <w:spacing w:before="40" w:after="40"/>
      </w:pPr>
      <w:r>
        <w:rPr>
          <w:rFonts w:ascii="Arial" w:cs="Arial" w:eastAsia="Arial" w:hAnsi="Arial"/>
          <w:color w:val="1A1A2E"/>
          <w:sz w:val="20"/>
          <w:szCs w:val="20"/>
        </w:rPr>
        <w:t xml:space="preserve">Ingresos mensuales estimados y anualizados.</w:t>
      </w:r>
    </w:p>
    <w:p>
      <w:pPr>
        <w:pStyle w:val="ListParagraph"/>
        <w:numPr>
          <w:ilvl w:val="0"/>
          <w:numId w:val="2"/>
        </w:numPr>
        <w:spacing w:before="40" w:after="40"/>
      </w:pPr>
      <w:r>
        <w:rPr>
          <w:rFonts w:ascii="Arial" w:cs="Arial" w:eastAsia="Arial" w:hAnsi="Arial"/>
          <w:color w:val="1A1A2E"/>
          <w:sz w:val="20"/>
          <w:szCs w:val="20"/>
        </w:rPr>
        <w:t xml:space="preserve">Yield medio de la cartera activa.</w:t>
      </w:r>
    </w:p>
    <w:p>
      <w:pPr>
        <w:pStyle w:val="ListParagraph"/>
        <w:numPr>
          <w:ilvl w:val="0"/>
          <w:numId w:val="2"/>
        </w:numPr>
        <w:spacing w:before="40" w:after="40"/>
      </w:pPr>
      <w:r>
        <w:rPr>
          <w:rFonts w:ascii="Arial" w:cs="Arial" w:eastAsia="Arial" w:hAnsi="Arial"/>
          <w:color w:val="1A1A2E"/>
          <w:sz w:val="20"/>
          <w:szCs w:val="20"/>
        </w:rPr>
        <w:t xml:space="preserve">Tabla de distribución de la cartera por estado con porcentajes y barras visuales.</w:t>
      </w:r>
    </w:p>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2.11 Configuración Global</w:t>
      </w:r>
    </w:p>
    <w:p>
      <w:pPr>
        <w:spacing w:before="80" w:after="80" w:line="276" w:lineRule="auto"/>
        <w:jc w:val="left"/>
      </w:pPr>
      <w:r>
        <w:rPr>
          <w:rFonts w:ascii="Arial" w:cs="Arial" w:eastAsia="Arial" w:hAnsi="Arial"/>
          <w:b w:val="false"/>
          <w:bCs w:val="false"/>
          <w:i w:val="false"/>
          <w:iCs w:val="false"/>
          <w:color w:val="1A1A2E"/>
          <w:sz w:val="20"/>
          <w:szCs w:val="20"/>
        </w:rPr>
        <w:t xml:space="preserve">Pantalla de parámetros globales del sistema que afectan al cálculo en todos los módulos.</w:t>
      </w:r>
    </w:p>
    <w:p>
      <w:pPr>
        <w:pStyle w:val="ListParagraph"/>
        <w:numPr>
          <w:ilvl w:val="0"/>
          <w:numId w:val="2"/>
        </w:numPr>
        <w:spacing w:before="40" w:after="40"/>
      </w:pPr>
      <w:r>
        <w:rPr>
          <w:rFonts w:ascii="Arial" w:cs="Arial" w:eastAsia="Arial" w:hAnsi="Arial"/>
          <w:color w:val="1A1A2E"/>
          <w:sz w:val="20"/>
          <w:szCs w:val="20"/>
        </w:rPr>
        <w:t xml:space="preserve">Porcentaje de retención IRPF por defecto para el cálculo de calendarios CCP (configurable, valor inicial 19%).</w:t>
      </w:r>
    </w:p>
    <w:p>
      <w:pPr>
        <w:pStyle w:val="ListParagraph"/>
        <w:numPr>
          <w:ilvl w:val="0"/>
          <w:numId w:val="2"/>
        </w:numPr>
        <w:spacing w:before="40" w:after="40"/>
      </w:pPr>
      <w:r>
        <w:rPr>
          <w:rFonts w:ascii="Arial" w:cs="Arial" w:eastAsia="Arial" w:hAnsi="Arial"/>
          <w:color w:val="1A1A2E"/>
          <w:sz w:val="20"/>
          <w:szCs w:val="20"/>
        </w:rPr>
        <w:t xml:space="preserve">Los cambios en esta pantalla se aplican inmediatamente a todos los calendarios generados.</w:t>
      </w:r>
    </w:p>
    <w:p>
      <w:pPr>
        <w:spacing w:before="0" w:after="0"/>
      </w:pPr>
      <w:r>
        <w:rPr>
          <w:rFonts w:ascii="Arial" w:cs="Arial" w:eastAsia="Arial" w:hAnsi="Arial"/>
          <w:sz w:val="18"/>
          <w:szCs w:val="18"/>
        </w:rPr>
        <w:t xml:space="preserve"/>
      </w:r>
    </w:p>
    <w:p>
      <w:pPr>
        <w:pStyle w:val="Heading1"/>
      </w:pPr>
      <w:r>
        <w:rPr>
          <w:rFonts w:ascii="Arial" w:cs="Arial" w:eastAsia="Arial" w:hAnsi="Arial"/>
        </w:rPr>
        <w:t xml:space="preserve">3. Flujos de Trabajo Principales</w:t>
      </w:r>
    </w:p>
    <w:p>
      <w:pPr>
        <w:pStyle w:val="Heading2"/>
      </w:pPr>
      <w:r>
        <w:rPr>
          <w:rFonts w:ascii="Arial" w:cs="Arial" w:eastAsia="Arial" w:hAnsi="Arial"/>
        </w:rPr>
        <w:t xml:space="preserve">3.1 Alta de una nueva operación de préstamo</w:t>
      </w:r>
    </w:p>
    <w:p>
      <w:pPr>
        <w:spacing w:before="80" w:after="80" w:line="276" w:lineRule="auto"/>
        <w:jc w:val="left"/>
      </w:pPr>
      <w:r>
        <w:rPr>
          <w:rFonts w:ascii="Arial" w:cs="Arial" w:eastAsia="Arial" w:hAnsi="Arial"/>
          <w:b w:val="false"/>
          <w:bCs w:val="false"/>
          <w:i w:val="false"/>
          <w:iCs w:val="false"/>
          <w:color w:val="1A1A2E"/>
          <w:sz w:val="20"/>
          <w:szCs w:val="20"/>
        </w:rPr>
        <w:t xml:space="preserve">Proceso estándar para formalizar un nuevo préstamo en el sistema:</w:t>
      </w:r>
    </w:p>
    <w:p>
      <w:pPr>
        <w:pStyle w:val="ListParagraph"/>
        <w:numPr>
          <w:ilvl w:val="0"/>
          <w:numId w:val="2"/>
        </w:numPr>
        <w:spacing w:before="40" w:after="40"/>
      </w:pPr>
      <w:r>
        <w:rPr>
          <w:rFonts w:ascii="Arial" w:cs="Arial" w:eastAsia="Arial" w:hAnsi="Arial"/>
          <w:color w:val="1A1A2E"/>
          <w:sz w:val="20"/>
          <w:szCs w:val="20"/>
        </w:rPr>
        <w:t xml:space="preserve">Paso 1 — Garantía: registrar el inmueble hipotecado en el módulo de Garantías con sus valoraciones.</w:t>
      </w:r>
    </w:p>
    <w:p>
      <w:pPr>
        <w:pStyle w:val="ListParagraph"/>
        <w:numPr>
          <w:ilvl w:val="0"/>
          <w:numId w:val="2"/>
        </w:numPr>
        <w:spacing w:before="40" w:after="40"/>
      </w:pPr>
      <w:r>
        <w:rPr>
          <w:rFonts w:ascii="Arial" w:cs="Arial" w:eastAsia="Arial" w:hAnsi="Arial"/>
          <w:color w:val="1A1A2E"/>
          <w:sz w:val="20"/>
          <w:szCs w:val="20"/>
        </w:rPr>
        <w:t xml:space="preserve">Paso 2 — Cliente: verificar que el prestatario existe o crear nuevo cliente en el módulo de Clientes.</w:t>
      </w:r>
    </w:p>
    <w:p>
      <w:pPr>
        <w:pStyle w:val="ListParagraph"/>
        <w:numPr>
          <w:ilvl w:val="0"/>
          <w:numId w:val="2"/>
        </w:numPr>
        <w:spacing w:before="40" w:after="40"/>
      </w:pPr>
      <w:r>
        <w:rPr>
          <w:rFonts w:ascii="Arial" w:cs="Arial" w:eastAsia="Arial" w:hAnsi="Arial"/>
          <w:color w:val="1A1A2E"/>
          <w:sz w:val="20"/>
          <w:szCs w:val="20"/>
        </w:rPr>
        <w:t xml:space="preserve">Paso 3 — Intermediario (opcional): verificar o crear el intermediario si la operación proviene de un broker.</w:t>
      </w:r>
    </w:p>
    <w:p>
      <w:pPr>
        <w:pStyle w:val="ListParagraph"/>
        <w:numPr>
          <w:ilvl w:val="0"/>
          <w:numId w:val="2"/>
        </w:numPr>
        <w:spacing w:before="40" w:after="40"/>
      </w:pPr>
      <w:r>
        <w:rPr>
          <w:rFonts w:ascii="Arial" w:cs="Arial" w:eastAsia="Arial" w:hAnsi="Arial"/>
          <w:color w:val="1A1A2E"/>
          <w:sz w:val="20"/>
          <w:szCs w:val="20"/>
        </w:rPr>
        <w:t xml:space="preserve">Paso 4 — Préstamo: crear el préstamo vinculando cliente, garantía e intermediario. Definir tipo, importe, tasas, duración y periodicidad. El sistema genera automáticamente el calendario teórico de vencimientos.</w:t>
      </w:r>
    </w:p>
    <w:p>
      <w:pPr>
        <w:pStyle w:val="ListParagraph"/>
        <w:numPr>
          <w:ilvl w:val="0"/>
          <w:numId w:val="2"/>
        </w:numPr>
        <w:spacing w:before="40" w:after="40"/>
      </w:pPr>
      <w:r>
        <w:rPr>
          <w:rFonts w:ascii="Arial" w:cs="Arial" w:eastAsia="Arial" w:hAnsi="Arial"/>
          <w:color w:val="1A1A2E"/>
          <w:sz w:val="20"/>
          <w:szCs w:val="20"/>
        </w:rPr>
        <w:t xml:space="preserve">Paso 5 — CCP (opcional): si la operación tiene financiación de partícipes, crear los contratos CCP correspondientes. El sistema calculará los calendarios de cobro de cada partícipe.</w:t>
      </w:r>
    </w:p>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3.2 Registro mensual de cobros</w:t>
      </w:r>
    </w:p>
    <w:p>
      <w:pPr>
        <w:spacing w:before="80" w:after="80" w:line="276" w:lineRule="auto"/>
        <w:jc w:val="left"/>
      </w:pPr>
      <w:r>
        <w:rPr>
          <w:rFonts w:ascii="Arial" w:cs="Arial" w:eastAsia="Arial" w:hAnsi="Arial"/>
          <w:b w:val="false"/>
          <w:bCs w:val="false"/>
          <w:i w:val="false"/>
          <w:iCs w:val="false"/>
          <w:color w:val="1A1A2E"/>
          <w:sz w:val="20"/>
          <w:szCs w:val="20"/>
        </w:rPr>
        <w:t xml:space="preserve">Proceso habitual al recibir el pago de una cuota:</w:t>
      </w:r>
    </w:p>
    <w:p>
      <w:pPr>
        <w:pStyle w:val="ListParagraph"/>
        <w:numPr>
          <w:ilvl w:val="0"/>
          <w:numId w:val="2"/>
        </w:numPr>
        <w:spacing w:before="40" w:after="40"/>
      </w:pPr>
      <w:r>
        <w:rPr>
          <w:rFonts w:ascii="Arial" w:cs="Arial" w:eastAsia="Arial" w:hAnsi="Arial"/>
          <w:color w:val="1A1A2E"/>
          <w:sz w:val="20"/>
          <w:szCs w:val="20"/>
        </w:rPr>
        <w:t xml:space="preserve">Acceder al préstamo desde el Dashboard o la lista de Préstamos.</w:t>
      </w:r>
    </w:p>
    <w:p>
      <w:pPr>
        <w:pStyle w:val="ListParagraph"/>
        <w:numPr>
          <w:ilvl w:val="0"/>
          <w:numId w:val="2"/>
        </w:numPr>
        <w:spacing w:before="40" w:after="40"/>
      </w:pPr>
      <w:r>
        <w:rPr>
          <w:rFonts w:ascii="Arial" w:cs="Arial" w:eastAsia="Arial" w:hAnsi="Arial"/>
          <w:color w:val="1A1A2E"/>
          <w:sz w:val="20"/>
          <w:szCs w:val="20"/>
        </w:rPr>
        <w:t xml:space="preserve">En la pestaña Calendario, localizar la cuota vencida.</w:t>
      </w:r>
    </w:p>
    <w:p>
      <w:pPr>
        <w:pStyle w:val="ListParagraph"/>
        <w:numPr>
          <w:ilvl w:val="0"/>
          <w:numId w:val="2"/>
        </w:numPr>
        <w:spacing w:before="40" w:after="40"/>
      </w:pPr>
      <w:r>
        <w:rPr>
          <w:rFonts w:ascii="Arial" w:cs="Arial" w:eastAsia="Arial" w:hAnsi="Arial"/>
          <w:color w:val="1A1A2E"/>
          <w:sz w:val="20"/>
          <w:szCs w:val="20"/>
        </w:rPr>
        <w:t xml:space="preserve">Opción A (cobro rápido): usar el botón de cobro directo para registrar el importe exacto con la fecha del día.</w:t>
      </w:r>
    </w:p>
    <w:p>
      <w:pPr>
        <w:pStyle w:val="ListParagraph"/>
        <w:numPr>
          <w:ilvl w:val="0"/>
          <w:numId w:val="2"/>
        </w:numPr>
        <w:spacing w:before="40" w:after="40"/>
      </w:pPr>
      <w:r>
        <w:rPr>
          <w:rFonts w:ascii="Arial" w:cs="Arial" w:eastAsia="Arial" w:hAnsi="Arial"/>
          <w:color w:val="1A1A2E"/>
          <w:sz w:val="20"/>
          <w:szCs w:val="20"/>
        </w:rPr>
        <w:t xml:space="preserve">Opción B (cobro manual): abrir el modal de cobro para introducir la fecha real e importe (útil para pagos parciales o con fecha diferente).</w:t>
      </w:r>
    </w:p>
    <w:p>
      <w:pPr>
        <w:pStyle w:val="ListParagraph"/>
        <w:numPr>
          <w:ilvl w:val="0"/>
          <w:numId w:val="2"/>
        </w:numPr>
        <w:spacing w:before="40" w:after="40"/>
      </w:pPr>
      <w:r>
        <w:rPr>
          <w:rFonts w:ascii="Arial" w:cs="Arial" w:eastAsia="Arial" w:hAnsi="Arial"/>
          <w:color w:val="1A1A2E"/>
          <w:sz w:val="20"/>
          <w:szCs w:val="20"/>
        </w:rPr>
        <w:t xml:space="preserve">Si existen contratos CCP activos, el sistema genera automáticamente los devengados pendientes de pago para cada partícipe.</w:t>
      </w:r>
    </w:p>
    <w:p>
      <w:pPr>
        <w:pStyle w:val="ListParagraph"/>
        <w:numPr>
          <w:ilvl w:val="0"/>
          <w:numId w:val="2"/>
        </w:numPr>
        <w:spacing w:before="40" w:after="40"/>
      </w:pPr>
      <w:r>
        <w:rPr>
          <w:rFonts w:ascii="Arial" w:cs="Arial" w:eastAsia="Arial" w:hAnsi="Arial"/>
          <w:color w:val="1A1A2E"/>
          <w:sz w:val="20"/>
          <w:szCs w:val="20"/>
        </w:rPr>
        <w:t xml:space="preserve">La cuota cambia su estado a 'cobrada' y los intereses de demora se recalculan automáticamente.</w:t>
      </w:r>
    </w:p>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3.3 Gestión de incidencias</w:t>
      </w:r>
    </w:p>
    <w:p>
      <w:pPr>
        <w:spacing w:before="80" w:after="80" w:line="276" w:lineRule="auto"/>
        <w:jc w:val="left"/>
      </w:pPr>
      <w:r>
        <w:rPr>
          <w:rFonts w:ascii="Arial" w:cs="Arial" w:eastAsia="Arial" w:hAnsi="Arial"/>
          <w:b w:val="false"/>
          <w:bCs w:val="false"/>
          <w:i w:val="false"/>
          <w:iCs w:val="false"/>
          <w:color w:val="1A1A2E"/>
          <w:sz w:val="20"/>
          <w:szCs w:val="20"/>
        </w:rPr>
        <w:t xml:space="preserve">Cuando un préstamo entra en situación irregular:</w:t>
      </w:r>
    </w:p>
    <w:p>
      <w:pPr>
        <w:pStyle w:val="ListParagraph"/>
        <w:numPr>
          <w:ilvl w:val="0"/>
          <w:numId w:val="2"/>
        </w:numPr>
        <w:spacing w:before="40" w:after="40"/>
      </w:pPr>
      <w:r>
        <w:rPr>
          <w:rFonts w:ascii="Arial" w:cs="Arial" w:eastAsia="Arial" w:hAnsi="Arial"/>
          <w:color w:val="1A1A2E"/>
          <w:sz w:val="20"/>
          <w:szCs w:val="20"/>
        </w:rPr>
        <w:t xml:space="preserve">Con retraso: el sistema lo detecta automáticamente al comparar las cuotas vencidas con los cobros registrados. Aparece en el Dashboard como incidencia.</w:t>
      </w:r>
    </w:p>
    <w:p>
      <w:pPr>
        <w:pStyle w:val="ListParagraph"/>
        <w:numPr>
          <w:ilvl w:val="0"/>
          <w:numId w:val="2"/>
        </w:numPr>
        <w:spacing w:before="40" w:after="40"/>
      </w:pPr>
      <w:r>
        <w:rPr>
          <w:rFonts w:ascii="Arial" w:cs="Arial" w:eastAsia="Arial" w:hAnsi="Arial"/>
          <w:color w:val="1A1A2E"/>
          <w:sz w:val="20"/>
          <w:szCs w:val="20"/>
        </w:rPr>
        <w:t xml:space="preserve">Judicialización: desde el detalle del préstamo, usar la acción 'Judicializar' para registrar la fecha de inicio judicial y el importe reclamado. El préstamo pasa a estado 'judicializado'.</w:t>
      </w:r>
    </w:p>
    <w:p>
      <w:pPr>
        <w:pStyle w:val="ListParagraph"/>
        <w:numPr>
          <w:ilvl w:val="0"/>
          <w:numId w:val="2"/>
        </w:numPr>
        <w:spacing w:before="40" w:after="40"/>
      </w:pPr>
      <w:r>
        <w:rPr>
          <w:rFonts w:ascii="Arial" w:cs="Arial" w:eastAsia="Arial" w:hAnsi="Arial"/>
          <w:color w:val="1A1A2E"/>
          <w:sz w:val="20"/>
          <w:szCs w:val="20"/>
        </w:rPr>
        <w:t xml:space="preserve">Cancelación anticipada: usar la acción 'Cancelar' para registrar la fecha y el importe de liquidación. El calendario teórico deja de generarse.</w:t>
      </w:r>
    </w:p>
    <w:p>
      <w:pPr>
        <w:spacing w:before="0" w:after="0"/>
      </w:pPr>
      <w:r>
        <w:rPr>
          <w:rFonts w:ascii="Arial" w:cs="Arial" w:eastAsia="Arial" w:hAnsi="Arial"/>
          <w:sz w:val="18"/>
          <w:szCs w:val="18"/>
        </w:rPr>
        <w:t xml:space="preserve"/>
      </w:r>
    </w:p>
    <w:p>
      <w:pPr>
        <w:pStyle w:val="Heading1"/>
      </w:pPr>
      <w:r>
        <w:rPr>
          <w:rFonts w:ascii="Arial" w:cs="Arial" w:eastAsia="Arial" w:hAnsi="Arial"/>
        </w:rPr>
        <w:t xml:space="preserve">4. Estructura de la Base de Datos</w:t>
      </w:r>
    </w:p>
    <w:p>
      <w:pPr>
        <w:spacing w:before="80" w:after="80" w:line="276" w:lineRule="auto"/>
        <w:jc w:val="left"/>
      </w:pPr>
      <w:r>
        <w:rPr>
          <w:rFonts w:ascii="Arial" w:cs="Arial" w:eastAsia="Arial" w:hAnsi="Arial"/>
          <w:b w:val="false"/>
          <w:bCs w:val="false"/>
          <w:i w:val="false"/>
          <w:iCs w:val="false"/>
          <w:color w:val="1A1A2E"/>
          <w:sz w:val="20"/>
          <w:szCs w:val="20"/>
        </w:rPr>
        <w:t xml:space="preserve">La base de datos está alojada en Supabase (PostgreSQL). A continuación se describe el esquema completo de cada tabla.</w:t>
      </w:r>
    </w:p>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4.1 Tabla: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Campo</w:t>
            </w:r>
          </w:p>
        </w:tc>
        <w:tc>
          <w:tcPr>
            <w:tcW w:type="dxa" w:w="22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Tipo</w:t>
            </w:r>
          </w:p>
        </w:tc>
        <w:tc>
          <w:tcPr>
            <w:tcW w:type="dxa" w:w="49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Descripción</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id</w:t>
            </w:r>
          </w:p>
        </w:tc>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 (PK)</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Identificador único. Formato: CLI001, CLI002...</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nombre</w:t>
            </w:r>
          </w:p>
        </w:tc>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Nombre completo o razón social del prestatario</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tipo</w:t>
            </w:r>
          </w:p>
        </w:tc>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Clasificación: 'persona' o 'empresa'</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cif</w:t>
            </w:r>
          </w:p>
        </w:tc>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CIF o NIF del cliente (opcional)</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telefono</w:t>
            </w:r>
          </w:p>
        </w:tc>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Número de contacto (opcional)</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email</w:t>
            </w:r>
          </w:p>
        </w:tc>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Correo electrónico (opcional)</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notas</w:t>
            </w:r>
          </w:p>
        </w:tc>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Observaciones internas (opcional)</w:t>
            </w:r>
          </w:p>
        </w:tc>
      </w:tr>
    </w:tbl>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4.2 Tabla: intermediarios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Campo</w:t>
            </w:r>
          </w:p>
        </w:tc>
        <w:tc>
          <w:tcPr>
            <w:tcW w:type="dxa" w:w="22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Tipo</w:t>
            </w:r>
          </w:p>
        </w:tc>
        <w:tc>
          <w:tcPr>
            <w:tcW w:type="dxa" w:w="49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Descripción</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id</w:t>
            </w:r>
          </w:p>
        </w:tc>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 (PK)</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Identificador único. Formato: INT001...</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nombre</w:t>
            </w:r>
          </w:p>
        </w:tc>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Nombre o razón social del intermediario</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nif</w:t>
            </w:r>
          </w:p>
        </w:tc>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NIF o CIF del intermediario (opcional)</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telefono</w:t>
            </w:r>
          </w:p>
        </w:tc>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Número de contacto (opcional)</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email</w:t>
            </w:r>
          </w:p>
        </w:tc>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Correo electrónico (opcional)</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notas</w:t>
            </w:r>
          </w:p>
        </w:tc>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Observaciones internas (opcional)</w:t>
            </w:r>
          </w:p>
        </w:tc>
      </w:tr>
    </w:tbl>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4.3 Tabla: garantias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Campo</w:t>
            </w:r>
          </w:p>
        </w:tc>
        <w:tc>
          <w:tcPr>
            <w:tcW w:type="dxa" w:w="20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Tipo</w:t>
            </w:r>
          </w:p>
        </w:tc>
        <w:tc>
          <w:tcPr>
            <w:tcW w:type="dxa" w:w="51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Descripción</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id</w:t>
            </w:r>
          </w:p>
        </w:tc>
        <w:tc>
          <w:tcPr>
            <w:tcW w:type="dxa" w:w="2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 (PK)</w:t>
            </w:r>
          </w:p>
        </w:tc>
        <w:tc>
          <w:tcPr>
            <w:tcW w:type="dxa" w:w="51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Identificador único. Formato: G001, G002...</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tipo</w:t>
            </w:r>
          </w:p>
        </w:tc>
        <w:tc>
          <w:tcPr>
            <w:tcW w:type="dxa" w:w="20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51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Tipo de inmueble: Solar, Vivienda, Local Comercial, Nave Industrial, Edificio, Parking, Otro</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direccion</w:t>
            </w:r>
          </w:p>
        </w:tc>
        <w:tc>
          <w:tcPr>
            <w:tcW w:type="dxa" w:w="2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51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Dirección completa del inmueble</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metros</w:t>
            </w:r>
          </w:p>
        </w:tc>
        <w:tc>
          <w:tcPr>
            <w:tcW w:type="dxa" w:w="20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51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Superficie en metros cuadrados</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tasador</w:t>
            </w:r>
          </w:p>
        </w:tc>
        <w:tc>
          <w:tcPr>
            <w:tcW w:type="dxa" w:w="2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51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Nombre de la sociedad tasadora (opcional)</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fecha_tasacion</w:t>
            </w:r>
          </w:p>
        </w:tc>
        <w:tc>
          <w:tcPr>
            <w:tcW w:type="dxa" w:w="20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DATE</w:t>
            </w:r>
          </w:p>
        </w:tc>
        <w:tc>
          <w:tcPr>
            <w:tcW w:type="dxa" w:w="51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Fecha del último informe de tasación</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valor_tasacion</w:t>
            </w:r>
          </w:p>
        </w:tc>
        <w:tc>
          <w:tcPr>
            <w:tcW w:type="dxa" w:w="2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51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Valor de tasación en euros (base cálculo LTV)</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valor_mercado</w:t>
            </w:r>
          </w:p>
        </w:tc>
        <w:tc>
          <w:tcPr>
            <w:tcW w:type="dxa" w:w="20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51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Valor estimado de mercado en euros</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valor_suelo</w:t>
            </w:r>
          </w:p>
        </w:tc>
        <w:tc>
          <w:tcPr>
            <w:tcW w:type="dxa" w:w="2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51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Valor del suelo en euros (opcional)</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valor_terminado</w:t>
            </w:r>
          </w:p>
        </w:tc>
        <w:tc>
          <w:tcPr>
            <w:tcW w:type="dxa" w:w="20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51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Valor del inmueble en estado terminado (opcional)</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fecha_adquisicion</w:t>
            </w:r>
          </w:p>
        </w:tc>
        <w:tc>
          <w:tcPr>
            <w:tcW w:type="dxa" w:w="2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DATE</w:t>
            </w:r>
          </w:p>
        </w:tc>
        <w:tc>
          <w:tcPr>
            <w:tcW w:type="dxa" w:w="51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Fecha de adquisición por el prestatario</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valor_adquisicion</w:t>
            </w:r>
          </w:p>
        </w:tc>
        <w:tc>
          <w:tcPr>
            <w:tcW w:type="dxa" w:w="20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51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Precio de adquisición en euros</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notas</w:t>
            </w:r>
          </w:p>
        </w:tc>
        <w:tc>
          <w:tcPr>
            <w:tcW w:type="dxa" w:w="2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51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Observaciones internas</w:t>
            </w:r>
          </w:p>
        </w:tc>
      </w:tr>
    </w:tbl>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4.4 Tabla: prestamos</w:t>
      </w:r>
    </w:p>
    <w:p>
      <w:pPr>
        <w:spacing w:before="80" w:after="80" w:line="276" w:lineRule="auto"/>
        <w:jc w:val="left"/>
      </w:pPr>
      <w:r>
        <w:rPr>
          <w:rFonts w:ascii="Arial" w:cs="Arial" w:eastAsia="Arial" w:hAnsi="Arial"/>
          <w:b w:val="false"/>
          <w:bCs w:val="false"/>
          <w:i/>
          <w:iCs/>
          <w:color w:val="4A5568"/>
          <w:sz w:val="20"/>
          <w:szCs w:val="20"/>
        </w:rPr>
        <w:t xml:space="preserve">Tabla principal del sistema. Cada registro representa una operación de financiación.</w:t>
      </w:r>
    </w:p>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Campo</w:t>
            </w:r>
          </w:p>
        </w:tc>
        <w:tc>
          <w:tcPr>
            <w:tcW w:type="dxa" w:w="18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Tipo</w:t>
            </w:r>
          </w:p>
        </w:tc>
        <w:tc>
          <w:tcPr>
            <w:tcW w:type="dxa" w:w="49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Descripción</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id</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 (PK)</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Identificador único. Formato: PRS001, PRS002...</w:t>
            </w:r>
          </w:p>
        </w:tc>
      </w:tr>
      <w:tr>
        <w:tc>
          <w:tcPr>
            <w:tcW w:type="dxa" w:w="26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alias</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Nombre de referencia de la operación</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centro_coste</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Centro de coste interno para reporting</w:t>
            </w:r>
          </w:p>
        </w:tc>
      </w:tr>
      <w:tr>
        <w:tc>
          <w:tcPr>
            <w:tcW w:type="dxa" w:w="26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cliente_id</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 (FK)</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Referencia a clientes.id</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intermediario_id</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 (FK)</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Referencia a intermediarios.id (nullable)</w:t>
            </w:r>
          </w:p>
        </w:tc>
      </w:tr>
      <w:tr>
        <w:tc>
          <w:tcPr>
            <w:tcW w:type="dxa" w:w="26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garantia_id</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 (FK)</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Referencia a garantias.id (nullable)</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importe</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Capital del préstamo en euros</w:t>
            </w:r>
          </w:p>
        </w:tc>
      </w:tr>
      <w:tr>
        <w:tc>
          <w:tcPr>
            <w:tcW w:type="dxa" w:w="26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fecha_inicio</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DATE</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Fecha de formalización del préstamo</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duracion_meses</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INTEGER</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Duración total en meses</w:t>
            </w:r>
          </w:p>
        </w:tc>
      </w:tr>
      <w:tr>
        <w:tc>
          <w:tcPr>
            <w:tcW w:type="dxa" w:w="26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dia_cobro</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INTEGER</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Día del mes en que vencen las cuotas (1-31)</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periodicidad</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Frecuencia de pago: 'mensual', 'trimestral' o 'anual'</w:t>
            </w:r>
          </w:p>
        </w:tc>
      </w:tr>
      <w:tr>
        <w:tc>
          <w:tcPr>
            <w:tcW w:type="dxa" w:w="26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tipo_prestamo</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Modalidad: 'Americano', 'Francés' o 'Francés con carencia'</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interes_ordinario</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Tipo de interés ordinario anual en porcentaje</w:t>
            </w:r>
          </w:p>
        </w:tc>
      </w:tr>
      <w:tr>
        <w:tc>
          <w:tcPr>
            <w:tcW w:type="dxa" w:w="26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interes_demora</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Tipo de interés de demora anual en porcentaje</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comision_apertura</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Comisión de apertura en porcentaje sobre el importe</w:t>
            </w:r>
          </w:p>
        </w:tc>
      </w:tr>
      <w:tr>
        <w:tc>
          <w:tcPr>
            <w:tcW w:type="dxa" w:w="26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estado</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Estado: 'activo', 'cancelado' o 'judicializado'</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fecha_cancelacion</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DATE</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Fecha de cancelación anticipada (nullable)</w:t>
            </w:r>
          </w:p>
        </w:tc>
      </w:tr>
      <w:tr>
        <w:tc>
          <w:tcPr>
            <w:tcW w:type="dxa" w:w="26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importe_cancelacion</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Importe de la liquidación (nullable)</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fecha_judicializacion</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DATE</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Fecha de inicio del proceso judicial (nullable)</w:t>
            </w:r>
          </w:p>
        </w:tc>
      </w:tr>
      <w:tr>
        <w:tc>
          <w:tcPr>
            <w:tcW w:type="dxa" w:w="26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importe_demanda</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Cuantía reclamada en la demanda (nullable)</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notas</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Observaciones internas</w:t>
            </w:r>
          </w:p>
        </w:tc>
      </w:tr>
    </w:tbl>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4.5 Tabla: cobros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Campo</w:t>
            </w:r>
          </w:p>
        </w:tc>
        <w:tc>
          <w:tcPr>
            <w:tcW w:type="dxa" w:w="18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Tipo</w:t>
            </w:r>
          </w:p>
        </w:tc>
        <w:tc>
          <w:tcPr>
            <w:tcW w:type="dxa" w:w="49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Descripción</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id</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 (PK)</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Identificador único. Formato: CBXXXXXXX (con componente aleatorio)</w:t>
            </w:r>
          </w:p>
        </w:tc>
      </w:tr>
      <w:tr>
        <w:tc>
          <w:tcPr>
            <w:tcW w:type="dxa" w:w="26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prestamo_id</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 (FK)</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Referencia a prestamos.id</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cuota_num</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Número de cuota del calendario teórico al que corresponde</w:t>
            </w:r>
          </w:p>
        </w:tc>
      </w:tr>
      <w:tr>
        <w:tc>
          <w:tcPr>
            <w:tcW w:type="dxa" w:w="26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fecha_teorica</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DATE</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Fecha de vencimiento teórica del calendario</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fecha_real</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DATE</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Fecha efectiva en que se recibió el pago</w:t>
            </w:r>
          </w:p>
        </w:tc>
      </w:tr>
      <w:tr>
        <w:tc>
          <w:tcPr>
            <w:tcW w:type="dxa" w:w="26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importe</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Importe cobrado en euros</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tipo</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Clasificación: 'pago_cuota' o 'cancelacion'</w:t>
            </w:r>
          </w:p>
        </w:tc>
      </w:tr>
      <w:tr>
        <w:tc>
          <w:tcPr>
            <w:tcW w:type="dxa" w:w="26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notas</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Observaciones (opcional)</w:t>
            </w:r>
          </w:p>
        </w:tc>
      </w:tr>
    </w:tbl>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4.6 Tabla: participes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Campo</w:t>
            </w:r>
          </w:p>
        </w:tc>
        <w:tc>
          <w:tcPr>
            <w:tcW w:type="dxa" w:w="20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Tipo</w:t>
            </w:r>
          </w:p>
        </w:tc>
        <w:tc>
          <w:tcPr>
            <w:tcW w:type="dxa" w:w="51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Descripción</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id</w:t>
            </w:r>
          </w:p>
        </w:tc>
        <w:tc>
          <w:tcPr>
            <w:tcW w:type="dxa" w:w="2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 (PK)</w:t>
            </w:r>
          </w:p>
        </w:tc>
        <w:tc>
          <w:tcPr>
            <w:tcW w:type="dxa" w:w="51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Identificador único. Formato: PT001, PT002...</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nombre</w:t>
            </w:r>
          </w:p>
        </w:tc>
        <w:tc>
          <w:tcPr>
            <w:tcW w:type="dxa" w:w="20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51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Nombre completo o razón social del inversor</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tipo</w:t>
            </w:r>
          </w:p>
        </w:tc>
        <w:tc>
          <w:tcPr>
            <w:tcW w:type="dxa" w:w="2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51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Clasificación: 'persona' o 'empresa'</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nif</w:t>
            </w:r>
          </w:p>
        </w:tc>
        <w:tc>
          <w:tcPr>
            <w:tcW w:type="dxa" w:w="20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51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NIF o CIF del partícipe</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telefono</w:t>
            </w:r>
          </w:p>
        </w:tc>
        <w:tc>
          <w:tcPr>
            <w:tcW w:type="dxa" w:w="2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51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Número de contacto (opcional)</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email</w:t>
            </w:r>
          </w:p>
        </w:tc>
        <w:tc>
          <w:tcPr>
            <w:tcW w:type="dxa" w:w="20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51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Correo electrónico (opcional)</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direccion</w:t>
            </w:r>
          </w:p>
        </w:tc>
        <w:tc>
          <w:tcPr>
            <w:tcW w:type="dxa" w:w="2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51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Dirección postal (opcional)</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centro_coste</w:t>
            </w:r>
          </w:p>
        </w:tc>
        <w:tc>
          <w:tcPr>
            <w:tcW w:type="dxa" w:w="20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INTEGER</w:t>
            </w:r>
          </w:p>
        </w:tc>
        <w:tc>
          <w:tcPr>
            <w:tcW w:type="dxa" w:w="51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Número de centro de coste asignado</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fecha_alta</w:t>
            </w:r>
          </w:p>
        </w:tc>
        <w:tc>
          <w:tcPr>
            <w:tcW w:type="dxa" w:w="2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DATE</w:t>
            </w:r>
          </w:p>
        </w:tc>
        <w:tc>
          <w:tcPr>
            <w:tcW w:type="dxa" w:w="51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Fecha de incorporación al sistema</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activo</w:t>
            </w:r>
          </w:p>
        </w:tc>
        <w:tc>
          <w:tcPr>
            <w:tcW w:type="dxa" w:w="20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BOOLEAN</w:t>
            </w:r>
          </w:p>
        </w:tc>
        <w:tc>
          <w:tcPr>
            <w:tcW w:type="dxa" w:w="51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Indica si el partícipe está activo o dado de baja</w:t>
            </w:r>
          </w:p>
        </w:tc>
      </w:tr>
    </w:tbl>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4.7 Tabla: contratos_ccp</w:t>
      </w:r>
    </w:p>
    <w:p>
      <w:pPr>
        <w:spacing w:before="80" w:after="80" w:line="276" w:lineRule="auto"/>
        <w:jc w:val="left"/>
      </w:pPr>
      <w:r>
        <w:rPr>
          <w:rFonts w:ascii="Arial" w:cs="Arial" w:eastAsia="Arial" w:hAnsi="Arial"/>
          <w:b w:val="false"/>
          <w:bCs w:val="false"/>
          <w:i/>
          <w:iCs/>
          <w:color w:val="4A5568"/>
          <w:sz w:val="20"/>
          <w:szCs w:val="20"/>
        </w:rPr>
        <w:t xml:space="preserve">Contratos de Cuenta en Participación. Cada contrato vincula un partícipe con un préstamo específico.</w:t>
      </w:r>
    </w:p>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Campo</w:t>
            </w:r>
          </w:p>
        </w:tc>
        <w:tc>
          <w:tcPr>
            <w:tcW w:type="dxa" w:w="18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Tipo</w:t>
            </w:r>
          </w:p>
        </w:tc>
        <w:tc>
          <w:tcPr>
            <w:tcW w:type="dxa" w:w="49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Descripción</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id</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 (PK)</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Identificador único. Formato: CCP001, CCP002...</w:t>
            </w:r>
          </w:p>
        </w:tc>
      </w:tr>
      <w:tr>
        <w:tc>
          <w:tcPr>
            <w:tcW w:type="dxa" w:w="26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participe_id</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 (FK)</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Referencia a participes.id</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prestamo_id</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 (FK)</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Referencia a prestamos.id</w:t>
            </w:r>
          </w:p>
        </w:tc>
      </w:tr>
      <w:tr>
        <w:tc>
          <w:tcPr>
            <w:tcW w:type="dxa" w:w="26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fecha_firma</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DATE</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Fecha de firma del contrato de participación</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importe_participacion</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Capital aportado por el partícipe en euros</w:t>
            </w:r>
          </w:p>
        </w:tc>
      </w:tr>
      <w:tr>
        <w:tc>
          <w:tcPr>
            <w:tcW w:type="dxa" w:w="26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porcentaje_participacion</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Porcentaje del préstamo que representa la participación</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porcentaje_gestion</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Porcentaje de gestión que retiene la empresa</w:t>
            </w:r>
          </w:p>
        </w:tc>
      </w:tr>
      <w:tr>
        <w:tc>
          <w:tcPr>
            <w:tcW w:type="dxa" w:w="26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activo</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BOOLEAN</w:t>
            </w:r>
          </w:p>
        </w:tc>
        <w:tc>
          <w:tcPr>
            <w:tcW w:type="dxa" w:w="49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Estado del contrato (activo / finalizado)</w:t>
            </w:r>
          </w:p>
        </w:tc>
      </w:tr>
      <w:tr>
        <w:tc>
          <w:tcPr>
            <w:tcW w:type="dxa" w:w="26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notas</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49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Observaciones internas (opcional)</w:t>
            </w:r>
          </w:p>
        </w:tc>
      </w:tr>
    </w:tbl>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4.8 Tabla: pagos_participes</w:t>
      </w:r>
    </w:p>
    <w:p>
      <w:pPr>
        <w:spacing w:before="80" w:after="80" w:line="276" w:lineRule="auto"/>
        <w:jc w:val="left"/>
      </w:pPr>
      <w:r>
        <w:rPr>
          <w:rFonts w:ascii="Arial" w:cs="Arial" w:eastAsia="Arial" w:hAnsi="Arial"/>
          <w:b w:val="false"/>
          <w:bCs w:val="false"/>
          <w:i/>
          <w:iCs/>
          <w:color w:val="4A5568"/>
          <w:sz w:val="20"/>
          <w:szCs w:val="20"/>
        </w:rPr>
        <w:t xml:space="preserve">Registro de los devengados y pagos realizados a cada partícipe por cuota cobrada.</w:t>
      </w:r>
    </w:p>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Campo</w:t>
            </w:r>
          </w:p>
        </w:tc>
        <w:tc>
          <w:tcPr>
            <w:tcW w:type="dxa" w:w="18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Tipo</w:t>
            </w:r>
          </w:p>
        </w:tc>
        <w:tc>
          <w:tcPr>
            <w:tcW w:type="dxa" w:w="53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Descripción</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id</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 (PK)</w:t>
            </w:r>
          </w:p>
        </w:tc>
        <w:tc>
          <w:tcPr>
            <w:tcW w:type="dxa" w:w="53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Identificador único generado automáticamente</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contrato_ccp_id</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 (FK)</w:t>
            </w:r>
          </w:p>
        </w:tc>
        <w:tc>
          <w:tcPr>
            <w:tcW w:type="dxa" w:w="53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Referencia a contratos_ccp.id</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participe_id</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 (FK)</w:t>
            </w:r>
          </w:p>
        </w:tc>
        <w:tc>
          <w:tcPr>
            <w:tcW w:type="dxa" w:w="53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Referencia directa a participes.id</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prestamo_id</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TEXT (FK)</w:t>
            </w:r>
          </w:p>
        </w:tc>
        <w:tc>
          <w:tcPr>
            <w:tcW w:type="dxa" w:w="53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Referencia directa a prestamos.id</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cuota_num</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53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Número de cuota del préstamo que origina el pago</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importe_bruto</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53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Beneficio bruto proporcional antes de deducciones</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gestion</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53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Importe retenido en concepto de comisión de gestión</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base_imponible</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53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Beneficio bruto menos gestión</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irpf</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53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Retención IRPF aplicada sobre la base imponible</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importe_neto</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NUMERIC</w:t>
            </w:r>
          </w:p>
        </w:tc>
        <w:tc>
          <w:tcPr>
            <w:tcW w:type="dxa" w:w="53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Importe final a percibir por el partícipe</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fecha_devengado</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DATE</w:t>
            </w:r>
          </w:p>
        </w:tc>
        <w:tc>
          <w:tcPr>
            <w:tcW w:type="dxa" w:w="53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Fecha en que se genera el devengado (cobro de cuota)</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fecha_pago</w:t>
            </w:r>
          </w:p>
        </w:tc>
        <w:tc>
          <w:tcPr>
            <w:tcW w:type="dxa" w:w="1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DATE</w:t>
            </w:r>
          </w:p>
        </w:tc>
        <w:tc>
          <w:tcPr>
            <w:tcW w:type="dxa" w:w="53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Fecha efectiva de pago al partícipe (nullable)</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estado</w:t>
            </w:r>
          </w:p>
        </w:tc>
        <w:tc>
          <w:tcPr>
            <w:tcW w:type="dxa" w:w="1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TEXT</w:t>
            </w:r>
          </w:p>
        </w:tc>
        <w:tc>
          <w:tcPr>
            <w:tcW w:type="dxa" w:w="53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Estado del pago: 'pendiente' o 'pagado'</w:t>
            </w:r>
          </w:p>
        </w:tc>
      </w:tr>
    </w:tbl>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4.9 Relaciones entre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Tabla origen</w:t>
            </w:r>
          </w:p>
        </w:tc>
        <w:tc>
          <w:tcPr>
            <w:tcW w:type="dxa" w:w="20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Campo FK</w:t>
            </w:r>
          </w:p>
        </w:tc>
        <w:tc>
          <w:tcPr>
            <w:tcW w:type="dxa" w:w="24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Tabla destino</w:t>
            </w:r>
          </w:p>
        </w:tc>
        <w:tc>
          <w:tcPr>
            <w:tcW w:type="dxa" w:w="25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Cardinalidad</w:t>
            </w:r>
          </w:p>
        </w:tc>
      </w:tr>
      <w:tr>
        <w:tc>
          <w:tcPr>
            <w:tcW w:type="dxa" w:w="24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prestamos</w:t>
            </w:r>
          </w:p>
        </w:tc>
        <w:tc>
          <w:tcPr>
            <w:tcW w:type="dxa" w:w="2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cliente_id</w:t>
            </w:r>
          </w:p>
        </w:tc>
        <w:tc>
          <w:tcPr>
            <w:tcW w:type="dxa" w:w="24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clientes</w:t>
            </w:r>
          </w:p>
        </w:tc>
        <w:tc>
          <w:tcPr>
            <w:tcW w:type="dxa" w:w="25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 a 1</w:t>
            </w:r>
          </w:p>
        </w:tc>
      </w:tr>
      <w:tr>
        <w:tc>
          <w:tcPr>
            <w:tcW w:type="dxa" w:w="24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prestamos</w:t>
            </w:r>
          </w:p>
        </w:tc>
        <w:tc>
          <w:tcPr>
            <w:tcW w:type="dxa" w:w="20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intermediario_id</w:t>
            </w:r>
          </w:p>
        </w:tc>
        <w:tc>
          <w:tcPr>
            <w:tcW w:type="dxa" w:w="24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intermediarios</w:t>
            </w:r>
          </w:p>
        </w:tc>
        <w:tc>
          <w:tcPr>
            <w:tcW w:type="dxa" w:w="25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 a 1 (opcional)</w:t>
            </w:r>
          </w:p>
        </w:tc>
      </w:tr>
      <w:tr>
        <w:tc>
          <w:tcPr>
            <w:tcW w:type="dxa" w:w="24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prestamos</w:t>
            </w:r>
          </w:p>
        </w:tc>
        <w:tc>
          <w:tcPr>
            <w:tcW w:type="dxa" w:w="2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garantia_id</w:t>
            </w:r>
          </w:p>
        </w:tc>
        <w:tc>
          <w:tcPr>
            <w:tcW w:type="dxa" w:w="24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garantias</w:t>
            </w:r>
          </w:p>
        </w:tc>
        <w:tc>
          <w:tcPr>
            <w:tcW w:type="dxa" w:w="25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 a 1 (opcional)</w:t>
            </w:r>
          </w:p>
        </w:tc>
      </w:tr>
      <w:tr>
        <w:tc>
          <w:tcPr>
            <w:tcW w:type="dxa" w:w="24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cobros</w:t>
            </w:r>
          </w:p>
        </w:tc>
        <w:tc>
          <w:tcPr>
            <w:tcW w:type="dxa" w:w="20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prestamo_id</w:t>
            </w:r>
          </w:p>
        </w:tc>
        <w:tc>
          <w:tcPr>
            <w:tcW w:type="dxa" w:w="24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prestamos</w:t>
            </w:r>
          </w:p>
        </w:tc>
        <w:tc>
          <w:tcPr>
            <w:tcW w:type="dxa" w:w="25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 a 1</w:t>
            </w:r>
          </w:p>
        </w:tc>
      </w:tr>
      <w:tr>
        <w:tc>
          <w:tcPr>
            <w:tcW w:type="dxa" w:w="24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contratos_ccp</w:t>
            </w:r>
          </w:p>
        </w:tc>
        <w:tc>
          <w:tcPr>
            <w:tcW w:type="dxa" w:w="2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participe_id</w:t>
            </w:r>
          </w:p>
        </w:tc>
        <w:tc>
          <w:tcPr>
            <w:tcW w:type="dxa" w:w="24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participes</w:t>
            </w:r>
          </w:p>
        </w:tc>
        <w:tc>
          <w:tcPr>
            <w:tcW w:type="dxa" w:w="25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 a 1</w:t>
            </w:r>
          </w:p>
        </w:tc>
      </w:tr>
      <w:tr>
        <w:tc>
          <w:tcPr>
            <w:tcW w:type="dxa" w:w="24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contratos_ccp</w:t>
            </w:r>
          </w:p>
        </w:tc>
        <w:tc>
          <w:tcPr>
            <w:tcW w:type="dxa" w:w="20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prestamo_id</w:t>
            </w:r>
          </w:p>
        </w:tc>
        <w:tc>
          <w:tcPr>
            <w:tcW w:type="dxa" w:w="24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prestamos</w:t>
            </w:r>
          </w:p>
        </w:tc>
        <w:tc>
          <w:tcPr>
            <w:tcW w:type="dxa" w:w="25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 a 1</w:t>
            </w:r>
          </w:p>
        </w:tc>
      </w:tr>
      <w:tr>
        <w:tc>
          <w:tcPr>
            <w:tcW w:type="dxa" w:w="24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pagos_participes</w:t>
            </w:r>
          </w:p>
        </w:tc>
        <w:tc>
          <w:tcPr>
            <w:tcW w:type="dxa" w:w="2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contrato_ccp_id</w:t>
            </w:r>
          </w:p>
        </w:tc>
        <w:tc>
          <w:tcPr>
            <w:tcW w:type="dxa" w:w="24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contratos_ccp</w:t>
            </w:r>
          </w:p>
        </w:tc>
        <w:tc>
          <w:tcPr>
            <w:tcW w:type="dxa" w:w="25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 a 1</w:t>
            </w:r>
          </w:p>
        </w:tc>
      </w:tr>
      <w:tr>
        <w:tc>
          <w:tcPr>
            <w:tcW w:type="dxa" w:w="24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pagos_participes</w:t>
            </w:r>
          </w:p>
        </w:tc>
        <w:tc>
          <w:tcPr>
            <w:tcW w:type="dxa" w:w="20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participe_id</w:t>
            </w:r>
          </w:p>
        </w:tc>
        <w:tc>
          <w:tcPr>
            <w:tcW w:type="dxa" w:w="24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participes</w:t>
            </w:r>
          </w:p>
        </w:tc>
        <w:tc>
          <w:tcPr>
            <w:tcW w:type="dxa" w:w="25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N a 1</w:t>
            </w:r>
          </w:p>
        </w:tc>
      </w:tr>
      <w:tr>
        <w:tc>
          <w:tcPr>
            <w:tcW w:type="dxa" w:w="24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pagos_participes</w:t>
            </w:r>
          </w:p>
        </w:tc>
        <w:tc>
          <w:tcPr>
            <w:tcW w:type="dxa" w:w="2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prestamo_id</w:t>
            </w:r>
          </w:p>
        </w:tc>
        <w:tc>
          <w:tcPr>
            <w:tcW w:type="dxa" w:w="24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prestamos</w:t>
            </w:r>
          </w:p>
        </w:tc>
        <w:tc>
          <w:tcPr>
            <w:tcW w:type="dxa" w:w="25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N a 1</w:t>
            </w:r>
          </w:p>
        </w:tc>
      </w:tr>
    </w:tbl>
    <w:p>
      <w:pPr>
        <w:spacing w:before="0" w:after="0"/>
      </w:pPr>
      <w:r>
        <w:rPr>
          <w:rFonts w:ascii="Arial" w:cs="Arial" w:eastAsia="Arial" w:hAnsi="Arial"/>
          <w:sz w:val="18"/>
          <w:szCs w:val="18"/>
        </w:rPr>
        <w:t xml:space="preserve"/>
      </w:r>
    </w:p>
    <w:p>
      <w:pPr>
        <w:pStyle w:val="Heading1"/>
      </w:pPr>
      <w:r>
        <w:rPr>
          <w:rFonts w:ascii="Arial" w:cs="Arial" w:eastAsia="Arial" w:hAnsi="Arial"/>
        </w:rPr>
        <w:t xml:space="preserve">5. Especificaciones Técnicas</w:t>
      </w:r>
    </w:p>
    <w:p>
      <w:pPr>
        <w:pStyle w:val="Heading2"/>
      </w:pPr>
      <w:r>
        <w:rPr>
          <w:rFonts w:ascii="Arial" w:cs="Arial" w:eastAsia="Arial" w:hAnsi="Arial"/>
        </w:rPr>
        <w:t xml:space="preserve">5.1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Capa</w:t>
            </w:r>
          </w:p>
        </w:tc>
        <w:tc>
          <w:tcPr>
            <w:tcW w:type="dxa" w:w="24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Tecnología</w:t>
            </w:r>
          </w:p>
        </w:tc>
        <w:tc>
          <w:tcPr>
            <w:tcW w:type="dxa" w:w="47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Versión / Detalle</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Frontend Framework</w:t>
            </w:r>
          </w:p>
        </w:tc>
        <w:tc>
          <w:tcPr>
            <w:tcW w:type="dxa" w:w="24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Vue.js 3</w:t>
            </w:r>
          </w:p>
        </w:tc>
        <w:tc>
          <w:tcPr>
            <w:tcW w:type="dxa" w:w="47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Composition API con &lt;script setup&gt;</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Build Tool</w:t>
            </w:r>
          </w:p>
        </w:tc>
        <w:tc>
          <w:tcPr>
            <w:tcW w:type="dxa" w:w="24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Vite</w:t>
            </w:r>
          </w:p>
        </w:tc>
        <w:tc>
          <w:tcPr>
            <w:tcW w:type="dxa" w:w="47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Empaquetado y servidor de desarrollo</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Backend / Base de datos</w:t>
            </w:r>
          </w:p>
        </w:tc>
        <w:tc>
          <w:tcPr>
            <w:tcW w:type="dxa" w:w="24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Supabase</w:t>
            </w:r>
          </w:p>
        </w:tc>
        <w:tc>
          <w:tcPr>
            <w:tcW w:type="dxa" w:w="47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PostgreSQL gestionado + API REST/GraphQL automática</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ORM / Cliente BD</w:t>
            </w:r>
          </w:p>
        </w:tc>
        <w:tc>
          <w:tcPr>
            <w:tcW w:type="dxa" w:w="24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@supabase/supabase-js</w:t>
            </w:r>
          </w:p>
        </w:tc>
        <w:tc>
          <w:tcPr>
            <w:tcW w:type="dxa" w:w="47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Cliente JavaScript oficial de Supabase</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Estilos</w:t>
            </w:r>
          </w:p>
        </w:tc>
        <w:tc>
          <w:tcPr>
            <w:tcW w:type="dxa" w:w="24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CSS nativo</w:t>
            </w:r>
          </w:p>
        </w:tc>
        <w:tc>
          <w:tcPr>
            <w:tcW w:type="dxa" w:w="47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Sistema de design tokens con variables CSS (var(--color))</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Gestión de estado</w:t>
            </w:r>
          </w:p>
        </w:tc>
        <w:tc>
          <w:tcPr>
            <w:tcW w:type="dxa" w:w="24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Vue Reactivity API</w:t>
            </w:r>
          </w:p>
        </w:tc>
        <w:tc>
          <w:tcPr>
            <w:tcW w:type="dxa" w:w="47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ref(), computed(), watch() — sin store externo</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Utilidades compartidas</w:t>
            </w:r>
          </w:p>
        </w:tc>
        <w:tc>
          <w:tcPr>
            <w:tcW w:type="dxa" w:w="24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utils.js</w:t>
            </w:r>
          </w:p>
        </w:tc>
        <w:tc>
          <w:tcPr>
            <w:tcW w:type="dxa" w:w="47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Módulo de funciones financieras y de formato</w:t>
            </w:r>
          </w:p>
        </w:tc>
      </w:tr>
      <w:tr>
        <w:tc>
          <w:tcPr>
            <w:tcW w:type="dxa" w:w="22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Composables</w:t>
            </w:r>
          </w:p>
        </w:tc>
        <w:tc>
          <w:tcPr>
            <w:tcW w:type="dxa" w:w="24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useSort.js</w:t>
            </w:r>
          </w:p>
        </w:tc>
        <w:tc>
          <w:tcPr>
            <w:tcW w:type="dxa" w:w="47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Composable reutilizable para tablas ordenables</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Hosting (BD)</w:t>
            </w:r>
          </w:p>
        </w:tc>
        <w:tc>
          <w:tcPr>
            <w:tcW w:type="dxa" w:w="24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Supabase Cloud</w:t>
            </w:r>
          </w:p>
        </w:tc>
        <w:tc>
          <w:tcPr>
            <w:tcW w:type="dxa" w:w="47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Proyecto alojado en infraestructura Supabase</w:t>
            </w:r>
          </w:p>
        </w:tc>
      </w:tr>
    </w:tbl>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5.2 Arquitectura de la aplicación</w:t>
      </w:r>
    </w:p>
    <w:p>
      <w:pPr>
        <w:spacing w:before="80" w:after="80" w:line="276" w:lineRule="auto"/>
        <w:jc w:val="left"/>
      </w:pPr>
      <w:r>
        <w:rPr>
          <w:rFonts w:ascii="Arial" w:cs="Arial" w:eastAsia="Arial" w:hAnsi="Arial"/>
          <w:b w:val="false"/>
          <w:bCs w:val="false"/>
          <w:i w:val="false"/>
          <w:iCs w:val="false"/>
          <w:color w:val="1A1A2E"/>
          <w:sz w:val="20"/>
          <w:szCs w:val="20"/>
        </w:rPr>
        <w:t xml:space="preserve">La aplicación sigue una arquitectura de Single Page Application (SPA) sin enrutador externo. La navegación entre módulos se gestiona mediante un estado reactivo centralizado en App.vue (currentPage) que controla qué componente se renderiza en el área de contenido principal.</w:t>
      </w:r>
    </w:p>
    <w:p>
      <w:pPr>
        <w:spacing w:before="0" w:after="0"/>
      </w:pPr>
      <w:r>
        <w:rPr>
          <w:rFonts w:ascii="Arial" w:cs="Arial" w:eastAsia="Arial" w:hAnsi="Arial"/>
          <w:sz w:val="18"/>
          <w:szCs w:val="18"/>
        </w:rPr>
        <w:t xml:space="preserve"/>
      </w:r>
    </w:p>
    <w:p>
      <w:pPr>
        <w:spacing w:before="80" w:after="80" w:line="276" w:lineRule="auto"/>
        <w:jc w:val="left"/>
      </w:pPr>
      <w:r>
        <w:rPr>
          <w:rFonts w:ascii="Arial" w:cs="Arial" w:eastAsia="Arial" w:hAnsi="Arial"/>
          <w:b/>
          <w:bCs/>
          <w:i w:val="false"/>
          <w:iCs w:val="false"/>
          <w:color w:val="1A1A2E"/>
          <w:sz w:val="20"/>
          <w:szCs w:val="20"/>
        </w:rPr>
        <w:t xml:space="preserve">Estructura de componentes:</w:t>
      </w:r>
    </w:p>
    <w:p>
      <w:pPr>
        <w:pStyle w:val="ListParagraph"/>
        <w:numPr>
          <w:ilvl w:val="0"/>
          <w:numId w:val="2"/>
        </w:numPr>
        <w:spacing w:before="40" w:after="40"/>
      </w:pPr>
      <w:r>
        <w:rPr>
          <w:rFonts w:ascii="Arial" w:cs="Arial" w:eastAsia="Arial" w:hAnsi="Arial"/>
          <w:color w:val="1A1A2E"/>
          <w:sz w:val="20"/>
          <w:szCs w:val="20"/>
        </w:rPr>
        <w:t xml:space="preserve">App.vue: componente raíz. Contiene el layout (sidebar + topbar + área de contenido), la lógica de navegación y el enrutamiento condicional entre módulos.</w:t>
      </w:r>
    </w:p>
    <w:p>
      <w:pPr>
        <w:pStyle w:val="ListParagraph"/>
        <w:numPr>
          <w:ilvl w:val="0"/>
          <w:numId w:val="2"/>
        </w:numPr>
        <w:spacing w:before="40" w:after="40"/>
      </w:pPr>
      <w:r>
        <w:rPr>
          <w:rFonts w:ascii="Arial" w:cs="Arial" w:eastAsia="Arial" w:hAnsi="Arial"/>
          <w:color w:val="1A1A2E"/>
          <w:sz w:val="20"/>
          <w:szCs w:val="20"/>
        </w:rPr>
        <w:t xml:space="preserve">Componentes de módulo (*.vue): cada módulo es un componente independiente que gestiona su propia carga de datos, estado local y lógica de negocio.</w:t>
      </w:r>
    </w:p>
    <w:p>
      <w:pPr>
        <w:pStyle w:val="ListParagraph"/>
        <w:numPr>
          <w:ilvl w:val="0"/>
          <w:numId w:val="2"/>
        </w:numPr>
        <w:spacing w:before="40" w:after="40"/>
      </w:pPr>
      <w:r>
        <w:rPr>
          <w:rFonts w:ascii="Arial" w:cs="Arial" w:eastAsia="Arial" w:hAnsi="Arial"/>
          <w:color w:val="1A1A2E"/>
          <w:sz w:val="20"/>
          <w:szCs w:val="20"/>
        </w:rPr>
        <w:t xml:space="preserve">utils.js: librería de funciones puras compartidas — formateo monetario, fechas, cálculo de calendarios de amortización (Americano, Francés, Francés con carencia) y generación de calendarios CCP.</w:t>
      </w:r>
    </w:p>
    <w:p>
      <w:pPr>
        <w:pStyle w:val="ListParagraph"/>
        <w:numPr>
          <w:ilvl w:val="0"/>
          <w:numId w:val="2"/>
        </w:numPr>
        <w:spacing w:before="40" w:after="40"/>
      </w:pPr>
      <w:r>
        <w:rPr>
          <w:rFonts w:ascii="Arial" w:cs="Arial" w:eastAsia="Arial" w:hAnsi="Arial"/>
          <w:color w:val="1A1A2E"/>
          <w:sz w:val="20"/>
          <w:szCs w:val="20"/>
        </w:rPr>
        <w:t xml:space="preserve">supabase.js: instancia única del cliente Supabase configurada con URL y clave anónima.</w:t>
      </w:r>
    </w:p>
    <w:p>
      <w:pPr>
        <w:pStyle w:val="ListParagraph"/>
        <w:numPr>
          <w:ilvl w:val="0"/>
          <w:numId w:val="2"/>
        </w:numPr>
        <w:spacing w:before="40" w:after="40"/>
      </w:pPr>
      <w:r>
        <w:rPr>
          <w:rFonts w:ascii="Arial" w:cs="Arial" w:eastAsia="Arial" w:hAnsi="Arial"/>
          <w:color w:val="1A1A2E"/>
          <w:sz w:val="20"/>
          <w:szCs w:val="20"/>
        </w:rPr>
        <w:t xml:space="preserve">useSort.js: composable que encapsula la lógica de ordenación bidireccional de tablas.</w:t>
      </w:r>
    </w:p>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5.3 Seguridad y acceso</w:t>
      </w:r>
    </w:p>
    <w:p>
      <w:pPr>
        <w:spacing w:before="80" w:after="80" w:line="276" w:lineRule="auto"/>
        <w:jc w:val="left"/>
      </w:pPr>
      <w:r>
        <w:rPr>
          <w:rFonts w:ascii="Arial" w:cs="Arial" w:eastAsia="Arial" w:hAnsi="Arial"/>
          <w:b w:val="false"/>
          <w:bCs w:val="false"/>
          <w:i w:val="false"/>
          <w:iCs w:val="false"/>
          <w:color w:val="1A1A2E"/>
          <w:sz w:val="20"/>
          <w:szCs w:val="20"/>
        </w:rPr>
        <w:t xml:space="preserve">La aplicación utiliza la clave anónima (anon key) de Supabase para todas las operaciones. El acceso a los datos está controlado por las Row Level Security (RLS) policies de Supabase configuradas en el proyecto.</w:t>
      </w:r>
    </w:p>
    <w:p>
      <w:pPr>
        <w:pStyle w:val="ListParagraph"/>
        <w:numPr>
          <w:ilvl w:val="0"/>
          <w:numId w:val="2"/>
        </w:numPr>
        <w:spacing w:before="40" w:after="40"/>
      </w:pPr>
      <w:r>
        <w:rPr>
          <w:rFonts w:ascii="Arial" w:cs="Arial" w:eastAsia="Arial" w:hAnsi="Arial"/>
          <w:color w:val="1A1A2E"/>
          <w:sz w:val="20"/>
          <w:szCs w:val="20"/>
        </w:rPr>
        <w:t xml:space="preserve">No existe sistema de autenticación de usuarios implementado en el frontend — la aplicación está diseñada para entornos de red interna o acceso controlado.</w:t>
      </w:r>
    </w:p>
    <w:p>
      <w:pPr>
        <w:pStyle w:val="ListParagraph"/>
        <w:numPr>
          <w:ilvl w:val="0"/>
          <w:numId w:val="2"/>
        </w:numPr>
        <w:spacing w:before="40" w:after="40"/>
      </w:pPr>
      <w:r>
        <w:rPr>
          <w:rFonts w:ascii="Arial" w:cs="Arial" w:eastAsia="Arial" w:hAnsi="Arial"/>
          <w:color w:val="1A1A2E"/>
          <w:sz w:val="20"/>
          <w:szCs w:val="20"/>
        </w:rPr>
        <w:t xml:space="preserve">Todas las operaciones de lectura y escritura se realizan a través del cliente Supabase con la anon key.</w:t>
      </w:r>
    </w:p>
    <w:p>
      <w:pPr>
        <w:pStyle w:val="ListParagraph"/>
        <w:numPr>
          <w:ilvl w:val="0"/>
          <w:numId w:val="2"/>
        </w:numPr>
        <w:spacing w:before="40" w:after="40"/>
      </w:pPr>
      <w:r>
        <w:rPr>
          <w:rFonts w:ascii="Arial" w:cs="Arial" w:eastAsia="Arial" w:hAnsi="Arial"/>
          <w:color w:val="1A1A2E"/>
          <w:sz w:val="20"/>
          <w:szCs w:val="20"/>
        </w:rPr>
        <w:t xml:space="preserve">La seguridad perimetral depende del control de acceso a la URL de la aplicación desplegada.</w:t>
      </w:r>
    </w:p>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5.4 Cálculos financieros implementados</w:t>
      </w:r>
    </w:p>
    <w:p>
      <w:pPr>
        <w:spacing w:before="80" w:after="80" w:line="276" w:lineRule="auto"/>
        <w:jc w:val="left"/>
      </w:pPr>
      <w:r>
        <w:rPr>
          <w:rFonts w:ascii="Arial" w:cs="Arial" w:eastAsia="Arial" w:hAnsi="Arial"/>
          <w:b w:val="false"/>
          <w:bCs w:val="false"/>
          <w:i w:val="false"/>
          <w:iCs w:val="false"/>
          <w:color w:val="1A1A2E"/>
          <w:sz w:val="20"/>
          <w:szCs w:val="20"/>
        </w:rPr>
        <w:t xml:space="preserve">Los cálculos financieros se ejecutan íntegramente en el cliente (frontend), sin dependencia de funciones de base de datos.</w:t>
      </w:r>
    </w:p>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Función</w:t>
            </w:r>
          </w:p>
        </w:tc>
        <w:tc>
          <w:tcPr>
            <w:tcW w:type="dxa" w:w="58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Descripción</w:t>
            </w:r>
          </w:p>
        </w:tc>
      </w:tr>
      <w:tr>
        <w:tc>
          <w:tcPr>
            <w:tcW w:type="dxa" w:w="35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generateCalendarioTeorico(prestamo)</w:t>
            </w:r>
          </w:p>
        </w:tc>
        <w:tc>
          <w:tcPr>
            <w:tcW w:type="dxa" w:w="58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Genera el array de cuotas teóricas según el tipo (Americano, Francés, Francés con carencia) y periodicidad. Implementa la fórmula PMT para préstamos franceses.</w:t>
            </w:r>
          </w:p>
        </w:tc>
      </w:tr>
      <w:tr>
        <w:tc>
          <w:tcPr>
            <w:tcW w:type="dxa" w:w="35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generateCalendarioCCP(contrato, prestamo, irpf)</w:t>
            </w:r>
          </w:p>
        </w:tc>
        <w:tc>
          <w:tcPr>
            <w:tcW w:type="dxa" w:w="58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Genera el calendario de cobros de un partícipe con prorrateo de la primera y segunda cuota según fecha de firma.</w:t>
            </w:r>
          </w:p>
        </w:tc>
      </w:tr>
      <w:tr>
        <w:tc>
          <w:tcPr>
            <w:tcW w:type="dxa" w:w="35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getCuotaEstado(cobros, prestamoId, cuotaNum, importe)</w:t>
            </w:r>
          </w:p>
        </w:tc>
        <w:tc>
          <w:tcPr>
            <w:tcW w:type="dxa" w:w="58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Determina el estado de una cuota (pendiente / parcial / cobrada) cotejando los cobros reales contra el importe teórico.</w:t>
            </w:r>
          </w:p>
        </w:tc>
      </w:tr>
      <w:tr>
        <w:tc>
          <w:tcPr>
            <w:tcW w:type="dxa" w:w="35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calcInteresOrdinario(importe, tasa)</w:t>
            </w:r>
          </w:p>
        </w:tc>
        <w:tc>
          <w:tcPr>
            <w:tcW w:type="dxa" w:w="58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Calcula el interés mensual: importe × (tasa/100) / 12.</w:t>
            </w:r>
          </w:p>
        </w:tc>
      </w:tr>
      <w:tr>
        <w:tc>
          <w:tcPr>
            <w:tcW w:type="dxa" w:w="35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calcInteresesDemora(importe, tasa, dias)</w:t>
            </w:r>
          </w:p>
        </w:tc>
        <w:tc>
          <w:tcPr>
            <w:tcW w:type="dxa" w:w="58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Calcula intereses de demora: importe × (tasa/100) / 365 × días.</w:t>
            </w:r>
          </w:p>
        </w:tc>
      </w:tr>
      <w:tr>
        <w:tc>
          <w:tcPr>
            <w:tcW w:type="dxa" w:w="35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getLTV(prestamo, garantia)</w:t>
            </w:r>
          </w:p>
        </w:tc>
        <w:tc>
          <w:tcPr>
            <w:tcW w:type="dxa" w:w="58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Calcula el Loan-to-Value: (importe préstamo / valor tasación) × 100.</w:t>
            </w:r>
          </w:p>
        </w:tc>
      </w:tr>
    </w:tbl>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5.5 Convenciones de identificadores</w:t>
      </w:r>
    </w:p>
    <w:p>
      <w:pPr>
        <w:spacing w:before="80" w:after="80" w:line="276" w:lineRule="auto"/>
        <w:jc w:val="left"/>
      </w:pPr>
      <w:r>
        <w:rPr>
          <w:rFonts w:ascii="Arial" w:cs="Arial" w:eastAsia="Arial" w:hAnsi="Arial"/>
          <w:b w:val="false"/>
          <w:bCs w:val="false"/>
          <w:i w:val="false"/>
          <w:iCs w:val="false"/>
          <w:color w:val="1A1A2E"/>
          <w:sz w:val="20"/>
          <w:szCs w:val="20"/>
        </w:rPr>
        <w:t xml:space="preserve">Los identificadores primarios se generan en el cliente siguiendo prefijos fijos más numeración secuencial: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Tabla</w:t>
            </w:r>
          </w:p>
        </w:tc>
        <w:tc>
          <w:tcPr>
            <w:tcW w:type="dxa" w:w="30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Formato ID</w:t>
            </w:r>
          </w:p>
        </w:tc>
        <w:tc>
          <w:tcPr>
            <w:tcW w:type="dxa" w:w="35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Ejemplo</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clientes</w:t>
            </w:r>
          </w:p>
        </w:tc>
        <w:tc>
          <w:tcPr>
            <w:tcW w:type="dxa" w:w="3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CLI + 3 dígitos</w:t>
            </w:r>
          </w:p>
        </w:tc>
        <w:tc>
          <w:tcPr>
            <w:tcW w:type="dxa" w:w="35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CLI001</w:t>
            </w:r>
          </w:p>
        </w:tc>
      </w:tr>
      <w:tr>
        <w:tc>
          <w:tcPr>
            <w:tcW w:type="dxa" w:w="2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intermediarios</w:t>
            </w:r>
          </w:p>
        </w:tc>
        <w:tc>
          <w:tcPr>
            <w:tcW w:type="dxa" w:w="30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INT + 3 dígitos</w:t>
            </w:r>
          </w:p>
        </w:tc>
        <w:tc>
          <w:tcPr>
            <w:tcW w:type="dxa" w:w="35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INT001</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garantias</w:t>
            </w:r>
          </w:p>
        </w:tc>
        <w:tc>
          <w:tcPr>
            <w:tcW w:type="dxa" w:w="3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G + 3 dígitos</w:t>
            </w:r>
          </w:p>
        </w:tc>
        <w:tc>
          <w:tcPr>
            <w:tcW w:type="dxa" w:w="35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G001</w:t>
            </w:r>
          </w:p>
        </w:tc>
      </w:tr>
      <w:tr>
        <w:tc>
          <w:tcPr>
            <w:tcW w:type="dxa" w:w="2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prestamos</w:t>
            </w:r>
          </w:p>
        </w:tc>
        <w:tc>
          <w:tcPr>
            <w:tcW w:type="dxa" w:w="30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PRS + 3 dígitos</w:t>
            </w:r>
          </w:p>
        </w:tc>
        <w:tc>
          <w:tcPr>
            <w:tcW w:type="dxa" w:w="35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PRS001</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cobros</w:t>
            </w:r>
          </w:p>
        </w:tc>
        <w:tc>
          <w:tcPr>
            <w:tcW w:type="dxa" w:w="3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CB + 9 caracteres aleatorios</w:t>
            </w:r>
          </w:p>
        </w:tc>
        <w:tc>
          <w:tcPr>
            <w:tcW w:type="dxa" w:w="35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CB4F2A9X1</w:t>
            </w:r>
          </w:p>
        </w:tc>
      </w:tr>
      <w:tr>
        <w:tc>
          <w:tcPr>
            <w:tcW w:type="dxa" w:w="2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participes</w:t>
            </w:r>
          </w:p>
        </w:tc>
        <w:tc>
          <w:tcPr>
            <w:tcW w:type="dxa" w:w="30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PT + 3 dígitos</w:t>
            </w:r>
          </w:p>
        </w:tc>
        <w:tc>
          <w:tcPr>
            <w:tcW w:type="dxa" w:w="35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PT001</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contratos_ccp</w:t>
            </w:r>
          </w:p>
        </w:tc>
        <w:tc>
          <w:tcPr>
            <w:tcW w:type="dxa" w:w="30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CCP + 3 dígitos</w:t>
            </w:r>
          </w:p>
        </w:tc>
        <w:tc>
          <w:tcPr>
            <w:tcW w:type="dxa" w:w="35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CCP001</w:t>
            </w:r>
          </w:p>
        </w:tc>
      </w:tr>
    </w:tbl>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5.6 Configuración de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Parámetro</w:t>
            </w:r>
          </w:p>
        </w:tc>
        <w:tc>
          <w:tcPr>
            <w:tcW w:type="dxa" w:w="58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Valor</w:t>
            </w:r>
          </w:p>
        </w:tc>
      </w:tr>
      <w:tr>
        <w:tc>
          <w:tcPr>
            <w:tcW w:type="dxa" w:w="35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Project URL</w:t>
            </w:r>
          </w:p>
        </w:tc>
        <w:tc>
          <w:tcPr>
            <w:tcW w:type="dxa" w:w="58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https://lsdmmnxkrrliutleyehp.supabase.co</w:t>
            </w:r>
          </w:p>
        </w:tc>
      </w:tr>
      <w:tr>
        <w:tc>
          <w:tcPr>
            <w:tcW w:type="dxa" w:w="35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Región</w:t>
            </w:r>
          </w:p>
        </w:tc>
        <w:tc>
          <w:tcPr>
            <w:tcW w:type="dxa" w:w="58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Supabase Cloud (EU)</w:t>
            </w:r>
          </w:p>
        </w:tc>
      </w:tr>
      <w:tr>
        <w:tc>
          <w:tcPr>
            <w:tcW w:type="dxa" w:w="35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Autenticación frontend</w:t>
            </w:r>
          </w:p>
        </w:tc>
        <w:tc>
          <w:tcPr>
            <w:tcW w:type="dxa" w:w="58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Anon Key (JWT)</w:t>
            </w:r>
          </w:p>
        </w:tc>
      </w:tr>
      <w:tr>
        <w:tc>
          <w:tcPr>
            <w:tcW w:type="dxa" w:w="35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Tiempo de expiración del token</w:t>
            </w:r>
          </w:p>
        </w:tc>
        <w:tc>
          <w:tcPr>
            <w:tcW w:type="dxa" w:w="58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Hasta 2087 según configuración del proyecto</w:t>
            </w:r>
          </w:p>
        </w:tc>
      </w:tr>
      <w:tr>
        <w:tc>
          <w:tcPr>
            <w:tcW w:type="dxa" w:w="35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Conexión</w:t>
            </w:r>
          </w:p>
        </w:tc>
        <w:tc>
          <w:tcPr>
            <w:tcW w:type="dxa" w:w="58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REST API mediante @supabase/supabase-js</w:t>
            </w:r>
          </w:p>
        </w:tc>
      </w:tr>
    </w:tbl>
    <w:p>
      <w:pPr>
        <w:spacing w:before="0" w:after="0"/>
      </w:pPr>
      <w:r>
        <w:rPr>
          <w:rFonts w:ascii="Arial" w:cs="Arial" w:eastAsia="Arial" w:hAnsi="Arial"/>
          <w:sz w:val="18"/>
          <w:szCs w:val="18"/>
        </w:rPr>
        <w:t xml:space="preserve"/>
      </w:r>
    </w:p>
    <w:p>
      <w:pPr>
        <w:pStyle w:val="Heading2"/>
      </w:pPr>
      <w:r>
        <w:rPr>
          <w:rFonts w:ascii="Arial" w:cs="Arial" w:eastAsia="Arial" w:hAnsi="Arial"/>
        </w:rPr>
        <w:t xml:space="preserve">5.7 Patrones de consulta a la base de datos</w:t>
      </w:r>
    </w:p>
    <w:p>
      <w:pPr>
        <w:spacing w:before="80" w:after="80" w:line="276" w:lineRule="auto"/>
        <w:jc w:val="left"/>
      </w:pPr>
      <w:r>
        <w:rPr>
          <w:rFonts w:ascii="Arial" w:cs="Arial" w:eastAsia="Arial" w:hAnsi="Arial"/>
          <w:b w:val="false"/>
          <w:bCs w:val="false"/>
          <w:i w:val="false"/>
          <w:iCs w:val="false"/>
          <w:color w:val="1A1A2E"/>
          <w:sz w:val="20"/>
          <w:szCs w:val="20"/>
        </w:rPr>
        <w:t xml:space="preserve">Las consultas a Supabase utilizan el patrón de joins declarativos mediante la sintaxis de selección anidada:</w:t>
      </w:r>
    </w:p>
    <w:p>
      <w:pPr>
        <w:pStyle w:val="ListParagraph"/>
        <w:numPr>
          <w:ilvl w:val="0"/>
          <w:numId w:val="2"/>
        </w:numPr>
        <w:spacing w:before="40" w:after="40"/>
      </w:pPr>
      <w:r>
        <w:rPr>
          <w:rFonts w:ascii="Arial" w:cs="Arial" w:eastAsia="Arial" w:hAnsi="Arial"/>
          <w:color w:val="1A1A2E"/>
          <w:sz w:val="20"/>
          <w:szCs w:val="20"/>
        </w:rPr>
        <w:t xml:space="preserve">Préstamos con datos de cliente, garantía e intermediario: .select('*, clientes(*), garantias(*), intermediarios(nombre)')</w:t>
      </w:r>
    </w:p>
    <w:p>
      <w:pPr>
        <w:pStyle w:val="ListParagraph"/>
        <w:numPr>
          <w:ilvl w:val="0"/>
          <w:numId w:val="2"/>
        </w:numPr>
        <w:spacing w:before="40" w:after="40"/>
      </w:pPr>
      <w:r>
        <w:rPr>
          <w:rFonts w:ascii="Arial" w:cs="Arial" w:eastAsia="Arial" w:hAnsi="Arial"/>
          <w:color w:val="1A1A2E"/>
          <w:sz w:val="20"/>
          <w:szCs w:val="20"/>
        </w:rPr>
        <w:t xml:space="preserve">Cobros con datos de préstamo y cliente: .select('*, prestamos(alias, clientes(nombre))')</w:t>
      </w:r>
    </w:p>
    <w:p>
      <w:pPr>
        <w:pStyle w:val="ListParagraph"/>
        <w:numPr>
          <w:ilvl w:val="0"/>
          <w:numId w:val="2"/>
        </w:numPr>
        <w:spacing w:before="40" w:after="40"/>
      </w:pPr>
      <w:r>
        <w:rPr>
          <w:rFonts w:ascii="Arial" w:cs="Arial" w:eastAsia="Arial" w:hAnsi="Arial"/>
          <w:color w:val="1A1A2E"/>
          <w:sz w:val="20"/>
          <w:szCs w:val="20"/>
        </w:rPr>
        <w:t xml:space="preserve">Contratos CCP con datos de partícipe y préstamo: .select('*, participes(*), prestamos(*)')</w:t>
      </w:r>
    </w:p>
    <w:p>
      <w:pPr>
        <w:pStyle w:val="ListParagraph"/>
        <w:numPr>
          <w:ilvl w:val="0"/>
          <w:numId w:val="2"/>
        </w:numPr>
        <w:spacing w:before="40" w:after="40"/>
      </w:pPr>
      <w:r>
        <w:rPr>
          <w:rFonts w:ascii="Arial" w:cs="Arial" w:eastAsia="Arial" w:hAnsi="Arial"/>
          <w:color w:val="1A1A2E"/>
          <w:sz w:val="20"/>
          <w:szCs w:val="20"/>
        </w:rPr>
        <w:t xml:space="preserve">Los datos se cargan en onMounted() con Promise.all() para paralelizar las peticiones.</w:t>
      </w:r>
    </w:p>
    <w:p>
      <w:pPr>
        <w:pStyle w:val="ListParagraph"/>
        <w:numPr>
          <w:ilvl w:val="0"/>
          <w:numId w:val="2"/>
        </w:numPr>
        <w:spacing w:before="40" w:after="40"/>
      </w:pPr>
      <w:r>
        <w:rPr>
          <w:rFonts w:ascii="Arial" w:cs="Arial" w:eastAsia="Arial" w:hAnsi="Arial"/>
          <w:color w:val="1A1A2E"/>
          <w:sz w:val="20"/>
          <w:szCs w:val="20"/>
        </w:rPr>
        <w:t xml:space="preserve">Las actualizaciones reactivas se consiguen recargando los datos tras cada operación de escritura.</w:t>
      </w:r>
    </w:p>
    <w:p>
      <w:pPr>
        <w:spacing w:before="0" w:after="0"/>
      </w:pPr>
      <w:r>
        <w:rPr>
          <w:rFonts w:ascii="Arial" w:cs="Arial" w:eastAsia="Arial" w:hAnsi="Arial"/>
          <w:sz w:val="18"/>
          <w:szCs w:val="18"/>
        </w:rPr>
        <w:t xml:space="preserve"/>
      </w:r>
    </w:p>
    <w:p>
      <w:pPr>
        <w:pStyle w:val="Heading1"/>
      </w:pPr>
      <w:r>
        <w:rPr>
          <w:rFonts w:ascii="Arial" w:cs="Arial" w:eastAsia="Arial" w:hAnsi="Arial"/>
        </w:rPr>
        <w:t xml:space="preserve">6. 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Término</w:t>
            </w:r>
          </w:p>
        </w:tc>
        <w:tc>
          <w:tcPr>
            <w:tcW w:type="dxa" w:w="6560"/>
            <w:tcBorders>
              <w:top w:val="single" w:color="1A3A5C" w:sz="1"/>
              <w:left w:val="single" w:color="1A3A5C" w:sz="1"/>
              <w:bottom w:val="single" w:color="1A3A5C" w:sz="1"/>
              <w:right w:val="single" w:color="1A3A5C" w:sz="1"/>
            </w:tcBorders>
            <w:shd w:fill="1A3A5C" w:val="clear"/>
            <w:tcMar>
              <w:top w:type="dxa" w:w="120"/>
              <w:left w:type="dxa" w:w="150"/>
              <w:bottom w:type="dxa" w:w="120"/>
              <w:right w:type="dxa" w:w="150"/>
            </w:tcMar>
          </w:tcPr>
          <w:p>
            <w:pPr>
              <w:jc w:val="left"/>
            </w:pPr>
            <w:r>
              <w:rPr>
                <w:rFonts w:ascii="Arial" w:cs="Arial" w:eastAsia="Arial" w:hAnsi="Arial"/>
                <w:b/>
                <w:bCs/>
                <w:color w:val="FFFFFF"/>
                <w:sz w:val="19"/>
                <w:szCs w:val="19"/>
              </w:rPr>
              <w:t xml:space="preserve">Definición</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LTV (Loan-to-Value)</w:t>
            </w:r>
          </w:p>
        </w:tc>
        <w:tc>
          <w:tcPr>
            <w:tcW w:type="dxa" w:w="65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Ratio entre el importe del préstamo y el valor de tasación de la garantía hipotecaria. Mide el riesgo de la operación. Umbral máximo en PROMOCIMA: 40%.</w:t>
            </w:r>
          </w:p>
        </w:tc>
      </w:tr>
      <w:tr>
        <w:tc>
          <w:tcPr>
            <w:tcW w:type="dxa" w:w="2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Préstamo Americano</w:t>
            </w:r>
          </w:p>
        </w:tc>
        <w:tc>
          <w:tcPr>
            <w:tcW w:type="dxa" w:w="65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Modalidad de préstamo en la que el prestatario abona únicamente intereses durante toda la vida del préstamo y devuelve el capital íntegro en la última cuota.</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Préstamo Francés</w:t>
            </w:r>
          </w:p>
        </w:tc>
        <w:tc>
          <w:tcPr>
            <w:tcW w:type="dxa" w:w="65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Modalidad con cuota constante en la que cada pago incluye intereses y amortización de capital. Los intereses decrecen y el principal crece progresivamente.</w:t>
            </w:r>
          </w:p>
        </w:tc>
      </w:tr>
      <w:tr>
        <w:tc>
          <w:tcPr>
            <w:tcW w:type="dxa" w:w="2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Carencia</w:t>
            </w:r>
          </w:p>
        </w:tc>
        <w:tc>
          <w:tcPr>
            <w:tcW w:type="dxa" w:w="65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Período inicial de un préstamo en el que solo se pagan intereses, sin amortización de capital.</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CCP (Cuenta en Participación)</w:t>
            </w:r>
          </w:p>
        </w:tc>
        <w:tc>
          <w:tcPr>
            <w:tcW w:type="dxa" w:w="65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Contrato por el que un inversor (partícipe) aporta capital para financiar parte de un préstamo, participando en los beneficios en proporción a su aportación.</w:t>
            </w:r>
          </w:p>
        </w:tc>
      </w:tr>
      <w:tr>
        <w:tc>
          <w:tcPr>
            <w:tcW w:type="dxa" w:w="2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Partícipe</w:t>
            </w:r>
          </w:p>
        </w:tc>
        <w:tc>
          <w:tcPr>
            <w:tcW w:type="dxa" w:w="65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Inversor privado que co-financia préstamos mediante contratos CCP, percibiendo una rentabilidad neta de gestión e IRPF.</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Devengado</w:t>
            </w:r>
          </w:p>
        </w:tc>
        <w:tc>
          <w:tcPr>
            <w:tcW w:type="dxa" w:w="65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Importe que corresponde a un partícipe por una cuota ya cobrada del préstamo subyacente, pendiente de ser transferido.</w:t>
            </w:r>
          </w:p>
        </w:tc>
      </w:tr>
      <w:tr>
        <w:tc>
          <w:tcPr>
            <w:tcW w:type="dxa" w:w="2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Interés de demora</w:t>
            </w:r>
          </w:p>
        </w:tc>
        <w:tc>
          <w:tcPr>
            <w:tcW w:type="dxa" w:w="65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Tipo de interés superior al ordinario que se aplica sobre las cuotas impagadas desde la fecha de vencimiento hasta el pago efectivo.</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Judicialización</w:t>
            </w:r>
          </w:p>
        </w:tc>
        <w:tc>
          <w:tcPr>
            <w:tcW w:type="dxa" w:w="65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Proceso por el que un préstamo impagado se deriva a reclamación judicial. El préstamo queda en estado 'judicializado' con registro de fecha e importe de demanda.</w:t>
            </w:r>
          </w:p>
        </w:tc>
      </w:tr>
      <w:tr>
        <w:tc>
          <w:tcPr>
            <w:tcW w:type="dxa" w:w="280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Centro de coste</w:t>
            </w:r>
          </w:p>
        </w:tc>
        <w:tc>
          <w:tcPr>
            <w:tcW w:type="dxa" w:w="6560"/>
            <w:tcBorders>
              <w:top w:val="single" w:color="D0D7E2" w:sz="1"/>
              <w:left w:val="single" w:color="D0D7E2" w:sz="1"/>
              <w:bottom w:val="single" w:color="D0D7E2" w:sz="1"/>
              <w:right w:val="single" w:color="D0D7E2" w:sz="1"/>
            </w:tcBorders>
            <w:shd w:fill="F4F6F9" w:val="clear"/>
            <w:tcMar>
              <w:top w:type="dxa" w:w="90"/>
              <w:left w:type="dxa" w:w="150"/>
              <w:bottom w:type="dxa" w:w="90"/>
              <w:right w:type="dxa" w:w="150"/>
            </w:tcMar>
          </w:tcPr>
          <w:p>
            <w:r>
              <w:rPr>
                <w:rFonts w:ascii="Arial" w:cs="Arial" w:eastAsia="Arial" w:hAnsi="Arial"/>
                <w:color w:val="1A1A2E"/>
                <w:sz w:val="19"/>
                <w:szCs w:val="19"/>
              </w:rPr>
              <w:t xml:space="preserve">Código interno de clasificación contable que permite agrupar y filtrar préstamos y partícipes por departamento o proyecto.</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PMT</w:t>
            </w:r>
          </w:p>
        </w:tc>
        <w:tc>
          <w:tcPr>
            <w:tcW w:type="dxa" w:w="6560"/>
            <w:tcBorders>
              <w:top w:val="single" w:color="D0D7E2" w:sz="1"/>
              <w:left w:val="single" w:color="D0D7E2" w:sz="1"/>
              <w:bottom w:val="single" w:color="D0D7E2" w:sz="1"/>
              <w:right w:val="single" w:color="D0D7E2" w:sz="1"/>
            </w:tcBorders>
            <w:shd w:fill="FFFFFF" w:val="clear"/>
            <w:tcMar>
              <w:top w:type="dxa" w:w="90"/>
              <w:left w:type="dxa" w:w="150"/>
              <w:bottom w:type="dxa" w:w="90"/>
              <w:right w:type="dxa" w:w="150"/>
            </w:tcMar>
          </w:tcPr>
          <w:p>
            <w:r>
              <w:rPr>
                <w:rFonts w:ascii="Arial" w:cs="Arial" w:eastAsia="Arial" w:hAnsi="Arial"/>
                <w:color w:val="1A1A2E"/>
                <w:sz w:val="19"/>
                <w:szCs w:val="19"/>
              </w:rPr>
              <w:t xml:space="preserve">Fórmula financiera para calcular la cuota fija de un préstamo con amortización francesa: P × r / (1 - (1+r)^-n), donde r es la tasa periódica y n el número de cuotas.</w:t>
            </w:r>
          </w:p>
        </w:tc>
      </w:tr>
    </w:tbl>
    <w:p>
      <w:pPr>
        <w:spacing w:before="0" w:after="0"/>
      </w:pPr>
      <w:r>
        <w:rPr>
          <w:rFonts w:ascii="Arial" w:cs="Arial" w:eastAsia="Arial" w:hAnsi="Arial"/>
          <w:sz w:val="18"/>
          <w:szCs w:val="18"/>
        </w:rPr>
        <w:t xml:space="preserve"/>
      </w:r>
    </w:p>
    <w:p>
      <w:pPr>
        <w:spacing w:before="0" w:after="0"/>
      </w:pPr>
      <w:r>
        <w:rPr>
          <w:rFonts w:ascii="Arial" w:cs="Arial" w:eastAsia="Arial" w:hAnsi="Arial"/>
          <w:sz w:val="18"/>
          <w:szCs w:val="18"/>
        </w:rPr>
        <w:t xml:space="preserve"/>
      </w:r>
    </w:p>
    <w:p>
      <w:pPr>
        <w:pBdr>
          <w:top w:val="single" w:color="D0D7E2" w:sz="4" w:space="4"/>
        </w:pBdr>
        <w:spacing w:before="240" w:after="80"/>
        <w:jc w:val="center"/>
      </w:pPr>
      <w:r>
        <w:rPr>
          <w:rFonts w:ascii="Arial" w:cs="Arial" w:eastAsia="Arial" w:hAnsi="Arial"/>
          <w:b/>
          <w:bCs/>
          <w:color w:val="4A5568"/>
          <w:sz w:val="18"/>
          <w:szCs w:val="18"/>
        </w:rPr>
        <w:t xml:space="preserve">PROMOCIMA — Capital Privado · Gestión Interna</w:t>
      </w:r>
    </w:p>
    <w:p>
      <w:pPr>
        <w:jc w:val="center"/>
      </w:pPr>
      <w:r>
        <w:rPr>
          <w:rFonts w:ascii="Arial" w:cs="Arial" w:eastAsia="Arial" w:hAnsi="Arial"/>
          <w:i/>
          <w:iCs/>
          <w:color w:val="4A5568"/>
          <w:sz w:val="17"/>
          <w:szCs w:val="17"/>
        </w:rPr>
        <w:t xml:space="preserve">Documento de uso interno exclusivo. Prohibida su distribución sin autorización.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4" w:space="2"/>
      </w:pBdr>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A5568"/>
              <w:sz w:val="17"/>
              <w:szCs w:val="17"/>
            </w:rPr>
            <w:t xml:space="preserve">Sistema de Gestión de Cartera de Préstamos Hipotecarios</w:t>
          </w:r>
        </w:p>
      </w:tc>
      <w:tc>
        <w:tcPr>
          <w:tcW w:type="dxa" w:w="33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4A5568"/>
              <w:sz w:val="17"/>
              <w:szCs w:val="17"/>
            </w:rPr>
            <w:t xml:space="preserve">Página </w:t>
          </w:r>
          <w:r>
            <w:rPr>
              <w:rFonts w:ascii="Arial" w:cs="Arial" w:eastAsia="Arial" w:hAnsi="Arial"/>
              <w:color w:val="4A5568"/>
              <w:sz w:val="17"/>
              <w:szCs w:val="17"/>
            </w:rPr>
            <w:fldChar w:fldCharType="begin"/>
            <w:instrText xml:space="preserve">PAGE</w:instrText>
            <w:fldChar w:fldCharType="separate"/>
            <w:fldChar w:fldCharType="end"/>
          </w:r>
          <w:r>
            <w:rPr>
              <w:rFonts w:ascii="Arial" w:cs="Arial" w:eastAsia="Arial" w:hAnsi="Arial"/>
              <w:color w:val="4A5568"/>
              <w:sz w:val="17"/>
              <w:szCs w:val="17"/>
            </w:rPr>
            <w:t xml:space="preserve"> de </w:t>
          </w:r>
          <w:r>
            <w:rPr>
              <w:rFonts w:ascii="Arial" w:cs="Arial" w:eastAsia="Arial" w:hAnsi="Arial"/>
              <w:color w:val="4A5568"/>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A5568"/>
              <w:sz w:val="18"/>
              <w:szCs w:val="18"/>
            </w:rPr>
            <w:t xml:space="preserve">PROMOCIMA — Documento de Especificación</w:t>
          </w:r>
        </w:p>
      </w:tc>
      <w:tc>
        <w:tcPr>
          <w:tcW w:type="dxa" w:w="33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4A5568"/>
              <w:sz w:val="18"/>
              <w:szCs w:val="18"/>
            </w:rPr>
            <w:t xml:space="preserve">Uso Interno · Confidencial</w:t>
          </w:r>
        </w:p>
      </w:tc>
    </w:tr>
  </w:tbl>
  <w:p>
    <w:pPr>
      <w:pBdr>
        <w:bottom w:val="single" w:color="2563A8" w:sz="4" w:space="2"/>
      </w:pBdr>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spacing w:before="20" w:after="20"/>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563A8" w:sz="8" w:space="4"/>
      </w:pBdr>
      <w:spacing w:before="36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563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2026-02-23T23:06:17.496Z</dcterms:created>
  <dcterms:modified xsi:type="dcterms:W3CDTF">2026-02-23T23:06:17.496Z</dcterms:modified>
</cp:coreProperties>
</file>

<file path=docProps/custom.xml><?xml version="1.0" encoding="utf-8"?>
<Properties xmlns="http://schemas.openxmlformats.org/officeDocument/2006/custom-properties" xmlns:vt="http://schemas.openxmlformats.org/officeDocument/2006/docPropsVTypes"/>
</file>