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440" w:after="160"/>
        <w:jc w:val="center"/>
      </w:pPr>
      <w:r>
        <w:rPr>
          <w:rFonts w:ascii="Arial" w:cs="Arial" w:eastAsia="Arial" w:hAnsi="Arial"/>
          <w:b/>
          <w:bCs/>
          <w:color w:val="1E3A5F"/>
          <w:sz w:val="52"/>
          <w:szCs w:val="52"/>
        </w:rPr>
        <w:t xml:space="preserve">PROMOCIMA CAPITAL PRIVADO</w:t>
      </w:r>
    </w:p>
    <w:p>
      <w:pPr>
        <w:spacing w:after="120"/>
        <w:jc w:val="center"/>
      </w:pPr>
      <w:r>
        <w:rPr>
          <w:rFonts w:ascii="Arial" w:cs="Arial" w:eastAsia="Arial" w:hAnsi="Arial"/>
          <w:color w:val="2C5F8A"/>
          <w:sz w:val="26"/>
          <w:szCs w:val="26"/>
        </w:rPr>
        <w:t xml:space="preserve">Documento Funcional · Versión 2.1 rev.</w:t>
      </w:r>
    </w:p>
    <w:p>
      <w:pPr>
        <w:spacing w:after="120"/>
        <w:jc w:val="center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Parte 2 de 3 — Base de Datos</w:t>
      </w:r>
    </w:p>
    <w:p>
      <w:pPr>
        <w:spacing w:after="500"/>
        <w:jc w:val="center"/>
      </w:pP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Sección 13: Estructura completa de tablas PostgreSQL / Supabase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7860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7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✔ VALIDADO</w:t>
            </w:r>
          </w:p>
        </w:tc>
        <w:tc>
          <w:tcPr>
            <w:tcW w:type="dxa" w:w="7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El comportamiento descrito coincide con el código fuente revisado.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✎ CORREGIDO</w:t>
            </w:r>
          </w:p>
        </w:tc>
        <w:tc>
          <w:tcPr>
            <w:tcW w:type="dxa" w:w="7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El texto se ha ajustado a la realidad del código. Solo cambio documental.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⚠ PENDIENTE</w:t>
            </w:r>
          </w:p>
        </w:tc>
        <w:tc>
          <w:tcPr>
            <w:tcW w:type="dxa" w:w="7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Requiere cambio en la aplicación. Ver Parte 3 (Plan de cambios).</w:t>
            </w:r>
          </w:p>
        </w:tc>
      </w:tr>
    </w:tbl>
    <w:p>
      <w:r>
        <w:br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13. Base de datos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La base de datos es PostgreSQL gestionada mediante Supabase. Todas las consultas de lectura y escritura se realizan desde el cliente (Vue 3) a través del SDK de Supabase.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C00000"/>
          <w:sz w:val="20"/>
          <w:szCs w:val="20"/>
        </w:rPr>
        <w:t xml:space="preserve">NOTA TÉCNICA: Supabase devuelve máximo 1.000 registros por consulta por defecto. Las consultas críticas de cobros y pagos usan .range(0, 9999) como solución provisional. Si la cartera supera los 10.000 registros, los cálculos serán incorrectos por datos incompletos. Solución recomendada: paginación real o funciones RPC en BD para los cálculos agregados. Ver Parte 3 (incongruencia 17.1).</w:t>
      </w:r>
    </w:p>
    <w:p>
      <w:pPr>
        <w:spacing w:after="8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2C5F8A"/>
          <w:sz w:val="26"/>
          <w:szCs w:val="26"/>
        </w:rPr>
        <w:t xml:space="preserve">13.1 Tabla: prestamos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Tabla principal. Cada fila representa un préstamo.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400"/>
        <w:gridCol w:w="800"/>
        <w:gridCol w:w="49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Campo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Tipo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Clave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Descripción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text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PK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Formato: P001, P002... Generado automáticamente al crear el préstamo.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alias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text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Nombre identificador del préstamo. Obligatorio y único dentro de la aplicación.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centro_coste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text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Código contable interno. Opcional.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cliente_id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text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FK → clientes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Prestatario del préstamo. Obligatorio.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intermediario_id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text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FK → intermediarios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Intermediario que captó la operación. Opcional. Nullable.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importe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numeric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Importe original del préstamo en euros.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tipo_prestamo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text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Valores: Americano / Francés / Francés con carencia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meses_carencia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integer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Solo para tipo Francés con carencia. Número de meses de carencia.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periodicidad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text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Valores: mensual / trimestral / anual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duracion_meses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integer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Plazo total del préstamo en meses.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fecha_inicio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date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Fecha de formalización del préstamo.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dia_cobro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integer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Día del mes en que vence la cuota (1-31). Si el mes tiene menos días, se usa el último.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interes_ordinario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numeric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Tasa de interés anual nominal en %.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interes_demora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numeric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Interés de demora anual en %. Aplicado en reclamaciones judiciales.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comision_apertura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numeric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Comisión de apertura en %. Opcional.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garantia_tipo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text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Tipo de garantía aportada (ej: hipotecaria, pignoraticia).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garantia_direccion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text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Dirección del inmueble u objeto de la garantía.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garantia_tasacion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numeric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Valor de tasación en euros. Usado para calcular LTV = importe/tasación × 100.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cirbe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boolean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Si el préstamo debe declararse al Banco de España para la CIRBE. Usado por aplicaciones externas.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estado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text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Valores: activo / cancelado / judicializado. Único campo de estado persistido en BD.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judicializado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boolean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True si el préstamo ha sido judicializado alguna vez. NO se pone a false al cancelar: permite detectar el estado previo al revertir una cancelación.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fecha_cancelacion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date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Fecha de cancelación del préstamo. Nullable.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fecha_judicializacion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date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Fecha de inicio de la reclamación judicial. Nullable.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importe_demanda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numeric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Importe total reclamado judicialmente (principal + intereses + gastos).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demanda_principal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numeric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Porción de principal reclamada en la demanda.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demanda_interes_ordinario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numeric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Intereses ordinarios reclamados en la demanda.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demanda_gastos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numeric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Gastos reclamados (costas judiciales y otros).</w:t>
            </w:r>
          </w:p>
        </w:tc>
      </w:tr>
    </w:tbl>
    <w:p>
      <w:pPr>
        <w:spacing w:after="8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2C5F8A"/>
          <w:sz w:val="26"/>
          <w:szCs w:val="26"/>
        </w:rPr>
        <w:t xml:space="preserve">13.2 Tabla: clientes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Prestatarios de los préstamos. Un cliente puede tener múltiples préstamos.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400"/>
        <w:gridCol w:w="800"/>
        <w:gridCol w:w="49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Campo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Tipo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Clave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Descripción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text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PK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Generado automáticamente.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nombre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text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Nombre completo o razón social. Obligatorio.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tipo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text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Valores: Persona / Empresa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telefono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text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Teléfono de contacto. Opcional.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email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text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Correo electrónico. Opcional.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notas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text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Notas internas. Opcional.</w:t>
            </w:r>
          </w:p>
        </w:tc>
      </w:tr>
    </w:tbl>
    <w:p>
      <w:pPr>
        <w:spacing w:after="8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2C5F8A"/>
          <w:sz w:val="26"/>
          <w:szCs w:val="26"/>
        </w:rPr>
        <w:t xml:space="preserve">13.3 Tabla: intermediarios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Personas o empresas que captan operaciones para Promocima.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400"/>
        <w:gridCol w:w="800"/>
        <w:gridCol w:w="49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Campo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Tipo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Clave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Descripción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text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PK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Generado automáticamente.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nombre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text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Nombre del intermediario. Obligatorio.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telefono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text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Teléfono. Opcional.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email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text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Email. Opcional.</w:t>
            </w:r>
          </w:p>
        </w:tc>
      </w:tr>
    </w:tbl>
    <w:p>
      <w:pPr>
        <w:spacing w:after="8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2C5F8A"/>
          <w:sz w:val="26"/>
          <w:szCs w:val="26"/>
        </w:rPr>
        <w:t xml:space="preserve">13.4 Tabla: cobros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Registra todos los movimientos de cobro de cada préstamo. Un cobro puede ser una cuota ordinaria, una amortización parcial, una cancelación o una judicialización.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400"/>
        <w:gridCol w:w="800"/>
        <w:gridCol w:w="49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Campo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Tipo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Clave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Descripción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text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PK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Formato: CB + string aleatorio (uuid).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prestamo_id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text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FK → prestamos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Préstamo al que pertenece este cobro.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cuota_num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text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Número de cuota como texto. Valores especiales: "C" = cancelación, "J" = judicialización.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fecha_teorica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date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Fecha de vencimiento teórico de la cuota según el calendario.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fecha_real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date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Fecha efectiva de cobro real. Nullable (null en cobros de judicialización).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importe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numeric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Importe total cobrado.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importe_principal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numeric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Porción de principal amortizado. Nullable.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importe_interes_ordinario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numeric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Intereses ordinarios (informativo en demandas y cancelaciones). Nullable.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importe_interes_demora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numeric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Interés de demora (en cancelaciones). Nullable.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importe_gastos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numeric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Gastos (en cancelaciones y demandas). Nullable.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gastos_devengan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numeric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Parte de los gastos que devenga intereses a partícipes. Nullable.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tipo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text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Valores: pago_cuota / cancelacion / judicializacion / amortizacion_parcial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modalidad_recalculo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text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Solo para amortizaciones parciales. Valores: misma_cuota / misma_fecha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notas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text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Notas del cobro. Opcional.</w:t>
            </w:r>
          </w:p>
        </w:tc>
      </w:tr>
    </w:tbl>
    <w:p>
      <w:pPr>
        <w:spacing w:after="8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2C5F8A"/>
          <w:sz w:val="26"/>
          <w:szCs w:val="26"/>
        </w:rPr>
        <w:t xml:space="preserve">13.5 Tabla: participes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Inversores que participan en los préstamos a través de contratos CCP.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400"/>
        <w:gridCol w:w="800"/>
        <w:gridCol w:w="49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Campo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Tipo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Clave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Descripción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text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PK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Generado automáticamente.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nombre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text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Nombre completo o razón social. Obligatorio.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tipo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text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Valores: Persona / Empresa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nif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text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NIF o CIF del partícipe. Opcional.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telefono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text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Teléfono de contacto. Opcional.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email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text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Email. Opcional.</w:t>
            </w:r>
          </w:p>
        </w:tc>
      </w:tr>
    </w:tbl>
    <w:p>
      <w:pPr>
        <w:spacing w:after="8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2C5F8A"/>
          <w:sz w:val="26"/>
          <w:szCs w:val="26"/>
        </w:rPr>
        <w:t xml:space="preserve">13.6 Tabla: contratos_ccp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Contratos Cuenta Partícipe. Vinculan a un partícipe con un préstamo concreto, definiendo el importe participado y las condiciones económicas.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400"/>
        <w:gridCol w:w="800"/>
        <w:gridCol w:w="49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Campo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Tipo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Clave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Descripción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text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PK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Generado automáticamente.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participe_id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text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FK → participes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Partícipe inversor.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prestamo_id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text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FK → prestamos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Préstamo en el que participa.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fecha_firma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date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Fecha de formalización del CCP. Debe ser &gt;= fecha_inicio del préstamo.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importe_participacion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numeric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Importe en euros que aporta el partícipe al préstamo.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porcentaje_participacion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numeric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Porcentaje de participación sobre el total del préstamo (importe_participacion / importe × 100).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porcentaje_gestion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numeric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Porcentaje anual de gestión que retiene Promocima sobre el importe participado.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porcentaje_apertura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numeric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Comisión de apertura del CCP en %. Nullable. Si se omite, es 0%.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activo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boolean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Si el contrato está vigente.</w:t>
            </w:r>
          </w:p>
        </w:tc>
      </w:tr>
    </w:tbl>
    <w:p>
      <w:pPr>
        <w:spacing w:after="8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2C5F8A"/>
          <w:sz w:val="26"/>
          <w:szCs w:val="26"/>
        </w:rPr>
        <w:t xml:space="preserve">13.7 Tabla: pagos_reales_participe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Registra los pagos reales efectuados a cada partícipe. Cada fila representa un pago neto (tras IRPF y gestión) realizado para una cuota concreta de un contrato CCP.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400"/>
        <w:gridCol w:w="800"/>
        <w:gridCol w:w="49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Campo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Tipo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Clave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Descripción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text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PK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Generado automáticamente.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contrato_ccp_id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text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FK → contratos_ccp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Contrato CCP al que corresponde el pago.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cuota_num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text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Número de cuota del préstamo a la que corresponde este pago. Permite la verificación al eliminar cobros.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importe_neto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numeric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Importe neto pagado al partícipe (tras aplicar IRPF y % gestión).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fecha_pago_real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date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Fecha efectiva del pago al partícipe.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notas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text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Notas del pago. Opcional.</w:t>
            </w:r>
          </w:p>
        </w:tc>
      </w:tr>
    </w:tbl>
    <w:p>
      <w:pPr>
        <w:spacing w:after="8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2C5F8A"/>
          <w:sz w:val="26"/>
          <w:szCs w:val="26"/>
        </w:rPr>
        <w:t xml:space="preserve">13.8 Tabla: config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Tabla de configuración global de la empresa. Siempre contiene una única fila (id = 1). Los cambios en esta tabla afectan al comportamiento de toda la aplicación.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400"/>
        <w:gridCol w:w="800"/>
        <w:gridCol w:w="49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Campo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Tipo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Clave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Descripción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integer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PK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Siempre 1.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nombre_empresa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text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Nombre de la empresa. Visible en cabeceras y documentos.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id_BdE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text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Código de 4 dígitos para declaraciones al Banco de España (CIRBE). Usado por aplicaciones externas.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interes_ordinario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numeric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Interés ordinario por defecto al crear nuevos préstamos (inicialmente 11%).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interes_demora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numeric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Interés de demora por defecto al crear nuevos préstamos (inicialmente 14%).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comision_apertura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numeric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Comisión de apertura por defecto en préstamos (inicialmente 2%).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gestion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numeric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% de gestión por defecto que cobra Promocima (inicialmente 2%).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porcentaje_irpf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numeric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% de IRPF retenido en los devengados de los contratos CCP (inicialmente 19%).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dia_cobro_participes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integer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Día del mes en que se paga a los partícipes (del mes siguiente al cobro del préstamo). Por defecto: 10.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porcentaje_gestion_defecto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numeric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% de gestión por defecto en los contratos CCP (inicialmente 2%).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porcentaje_apertura_defecto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numeric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% de apertura por defecto en los contratos CCP (inicialmente 0%).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fecha_referencia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date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Fecha de referencia global. Nullable. Si tiene valor, sustituye a la fecha real del sistema en todos los cálculos de situación y cobros previstos.</w:t>
            </w:r>
          </w:p>
        </w:tc>
      </w:tr>
    </w:tbl>
    <w:p>
      <w:pPr>
        <w:pBdr>
          <w:left w:val="single" w:color="3b82f6" w:sz="6" w:space="6"/>
        </w:pBdr>
        <w:spacing w:after="100"/>
        <w:ind w:left="400"/>
      </w:pPr>
      <w:r>
        <w:rPr>
          <w:rFonts w:ascii="Arial" w:cs="Arial" w:eastAsia="Arial" w:hAnsi="Arial"/>
          <w:b/>
          <w:bCs/>
          <w:color w:val="3b82f6"/>
          <w:sz w:val="20"/>
          <w:szCs w:val="20"/>
        </w:rPr>
        <w:t xml:space="preserve">✎ CORREGIDO: </w:t>
      </w:r>
      <w:r>
        <w:rPr>
          <w:rFonts w:ascii="Arial" w:cs="Arial" w:eastAsia="Arial" w:hAnsi="Arial"/>
          <w:color w:val="3b82f6"/>
          <w:sz w:val="20"/>
          <w:szCs w:val="20"/>
        </w:rPr>
        <w:t xml:space="preserve">Tabla config completamente reescrita. V2.1 original solo documentaba 3 campos. Revisado Configuracion.vue: la tabla tiene 12 campos incluyendo nombre_empresa, id_BdE, tipos de interés por defecto, comisión apertura, % gestión, día cobro partícipes, % gestión/apertura defecto CCP y fecha referencia.</w:t>
      </w:r>
    </w:p>
    <w:p>
      <w:pPr>
        <w:spacing w:after="8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2C5F8A"/>
          <w:sz w:val="26"/>
          <w:szCs w:val="26"/>
        </w:rPr>
        <w:t xml:space="preserve">13.9 Tabla: perfiles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Tabla de usuarios de la aplicación. Vinculada al sistema de autenticación de Supabase (auth.users).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400"/>
        <w:gridCol w:w="800"/>
        <w:gridCol w:w="49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Campo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Tipo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Clave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Descripción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uuid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PK → auth.users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Vinculado al sistema de autenticación de Supabase. Mismo UUID que en auth.users.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email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text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Email del usuario.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nombre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text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Nombre visible del usuario en la aplicación.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rol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text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Valores: admin / interno / participe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participe_id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text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FK → participes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Solo para usuarios con rol = participe. Vincula el usuario con su registro de partícipe. Nullable.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activo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boolean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Si el usuario está habilitado para acceder a la aplicación.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created_at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Fecha y hora de creación del perfil.</w:t>
            </w:r>
          </w:p>
        </w:tc>
      </w:tr>
    </w:tbl>
    <w:p>
      <w:pPr>
        <w:spacing w:after="8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2C5F8A"/>
          <w:sz w:val="26"/>
          <w:szCs w:val="26"/>
        </w:rPr>
        <w:t xml:space="preserve">13.10 Relaciones entre tablas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Diagrama de dependencias: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Tabla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Depende de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prestamos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clientes (cliente_id), intermediarios (intermediario_id)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cobros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prestamos (prestamo_id)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contratos_ccp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participes (participe_id), prestamos (prestamo_id)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pagos_reales_participe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contratos_ccp (contrato_ccp_id)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perfiles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auth.users (id), participes (participe_id)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config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— (tabla singleton, sin FK)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i/>
          <w:iCs/>
          <w:color w:val="888888"/>
          <w:sz w:val="16"/>
          <w:szCs w:val="16"/>
        </w:rPr>
        <w:t xml:space="preserve">Continúa en Parte 3 — Plan de Cambios y Mejoras  ·  Versión 2.1 rev. — Marzo 2026</w:t>
      </w:r>
    </w:p>
    <w:sectPr>
      <w:headerReference w:type="default" r:id="rId6"/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C5F8A" w:sz="4" w:space="6"/>
      </w:pBdr>
      <w:spacing w:before="120"/>
      <w:jc w:val="right"/>
    </w:pPr>
    <w:r>
      <w:rPr>
        <w:rFonts w:ascii="Arial" w:cs="Arial" w:eastAsia="Arial" w:hAnsi="Arial"/>
        <w:color w:val="666666"/>
        <w:sz w:val="16"/>
        <w:szCs w:val="16"/>
      </w:rPr>
      <w:t xml:space="preserve">Página </w:t>
    </w:r>
    <w:r>
      <w:rPr>
        <w:rFonts w:ascii="Arial" w:cs="Arial" w:eastAsia="Arial" w:hAnsi="Arial"/>
        <w:color w:val="666666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666666"/>
        <w:sz w:val="16"/>
        <w:szCs w:val="16"/>
      </w:rPr>
      <w:t xml:space="preserve"> de </w:t>
    </w:r>
    <w:r>
      <w:rPr>
        <w:rFonts w:ascii="Arial" w:cs="Arial" w:eastAsia="Arial" w:hAnsi="Arial"/>
        <w:color w:val="666666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C5F8A" w:sz="4" w:space="6"/>
      </w:pBdr>
      <w:spacing w:after="120"/>
    </w:pPr>
    <w:r>
      <w:rPr>
        <w:rFonts w:ascii="Arial" w:cs="Arial" w:eastAsia="Arial" w:hAnsi="Arial"/>
        <w:color w:val="666666"/>
        <w:sz w:val="16"/>
        <w:szCs w:val="16"/>
      </w:rPr>
      <w:t xml:space="preserve">PROMOCIMA CAPITAL PRIVADO  ·  Funcional V2.1 rev. — Parte 2: Base de Datos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00"/>
      </w:pPr>
    </w:lvl>
    <w:lvl w:ilvl="1" w15:tentative="1">
      <w:start w:val="1"/>
      <w:numFmt w:val="bullet"/>
      <w:lvlText w:val="◦"/>
      <w:lvlJc w:val="left"/>
      <w:pPr>
        <w:ind w:left="1000" w:hanging="30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2C5F8A" w:sz="4" w:space="4"/>
      </w:pBdr>
      <w:spacing w:before="360" w:after="160"/>
      <w:outlineLvl w:val="0"/>
    </w:pPr>
    <w:rPr>
      <w:rFonts w:ascii="Arial" w:cs="Arial" w:eastAsia="Arial" w:hAnsi="Arial"/>
      <w:b/>
      <w:bCs/>
      <w:color w:val="1E3A5F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80" w:after="120"/>
      <w:outlineLvl w:val="1"/>
    </w:pPr>
    <w:rPr>
      <w:rFonts w:ascii="Arial" w:cs="Arial" w:eastAsia="Arial" w:hAnsi="Arial"/>
      <w:b/>
      <w:bCs/>
      <w:color w:val="2C5F8A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200" w:after="80"/>
      <w:outlineLvl w:val="2"/>
    </w:pPr>
    <w:rPr>
      <w:rFonts w:ascii="Arial" w:cs="Arial" w:eastAsia="Arial" w:hAnsi="Arial"/>
      <w:b/>
      <w:bCs/>
      <w:color w:val="1E3A5F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2026-03-09T01:57:03.384Z</dcterms:created>
  <dcterms:modified xsi:type="dcterms:W3CDTF">2026-03-09T01:57:03.385Z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