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Pr>
        <w:jc w:val="center"/>
      </w:pPr>
      <w:r>
        <w:pict>
          <v:shape type="#_x0000_t75" stroked="f" style="width:90pt; height:81.548223350254pt; margin-left:0pt; margin-top:0pt; mso-position-horizontal:left; mso-position-vertical:top; mso-position-horizontal-relative:char; mso-position-vertical-relative:line;">
            <w10:wrap type="inline"/>
            <v:imagedata r:id="rId7" o:title=""/>
          </v:shape>
        </w:pict>
      </w:r>
    </w:p>
    <w:p/>
    <w:p>
      <w:pPr>
        <w:jc w:val="center"/>
        <w:spacing w:after="0"/>
      </w:pPr>
      <w:r>
        <w:rPr>
          <w:color w:val="073564"/>
          <w:sz w:val="24"/>
          <w:szCs w:val="24"/>
          <w:b w:val="1"/>
          <w:bCs w:val="1"/>
        </w:rPr>
        <w:t xml:space="preserve">COMMISSION DE LA CEEAC</w:t>
      </w:r>
    </w:p>
    <w:p>
      <w:pPr>
        <w:jc w:val="center"/>
      </w:pPr>
      <w:r>
        <w:rPr>
          <w:color w:val="555555"/>
          <w:sz w:val="20"/>
          <w:szCs w:val="20"/>
        </w:rPr>
        <w:t xml:space="preserve">Direction des Systèmes d'Information</w:t>
      </w:r>
    </w:p>
    <w:p/>
    <w:p/>
    <w:p/>
    <w:p>
      <w:pPr>
        <w:jc w:val="center"/>
        <w:spacing w:after="0"/>
      </w:pPr>
      <w:r>
        <w:rPr>
          <w:color w:val="0A4A8F"/>
          <w:sz w:val="56"/>
          <w:szCs w:val="56"/>
          <w:b w:val="1"/>
          <w:bCs w:val="1"/>
        </w:rPr>
        <w:t xml:space="preserve">JEU D'ESSAI</w:t>
      </w:r>
    </w:p>
    <w:p>
      <w:pPr>
        <w:jc w:val="center"/>
      </w:pPr>
      <w:r>
        <w:rPr>
          <w:color w:val="073564"/>
          <w:sz w:val="30"/>
          <w:szCs w:val="30"/>
        </w:rPr>
        <w:t xml:space="preserve">Migration de la base de données MySQL → PostgreSQL 18</w:t>
      </w:r>
    </w:p>
    <w:p>
      <w:pPr>
        <w:jc w:val="center"/>
      </w:pPr>
      <w:r>
        <w:rPr>
          <w:color w:val="555555"/>
          <w:sz w:val="24"/>
          <w:szCs w:val="24"/>
        </w:rPr>
        <w:t xml:space="preserve">Application GEST-BUDGET-PAP</w:t>
      </w:r>
    </w:p>
    <w:p/>
    <w:p/>
    <w:p/>
    <w:tbl>
      <w:tblGrid>
        <w:gridCol w:w="3200" w:type="dxa"/>
        <w:gridCol w:w="4200" w:type="dxa"/>
      </w:tblGrid>
      <w:tblPr>
        <w:jc w:val="center"/>
        <w:tblW w:w="0" w:type="auto"/>
        <w:tblLayout w:type="autofit"/>
        <w:tblCellMar>
          <w:top w:w="90" w:type="dxa"/>
          <w:left w:w="90" w:type="dxa"/>
          <w:right w:w="90" w:type="dxa"/>
          <w:bottom w:w="90" w:type="dxa"/>
        </w:tblCellMar>
        <w:tblBorders>
          <w:top w:val="single" w:sz="4" w:color="B8C4D6"/>
          <w:left w:val="single" w:sz="4" w:color="B8C4D6"/>
          <w:right w:val="single" w:sz="4" w:color="B8C4D6"/>
          <w:bottom w:val="single" w:sz="4" w:color="B8C4D6"/>
          <w:insideH w:val="single" w:sz="4" w:color="B8C4D6"/>
          <w:insideV w:val="single" w:sz="4" w:color="B8C4D6"/>
        </w:tblBorders>
      </w:tblPr>
      <w:tr>
        <w:trPr/>
        <w:tc>
          <w:tcPr>
            <w:tcW w:w="3200" w:type="dxa"/>
            <w:shd w:val="clear" w:fill="EEF3FA"/>
            <w:noWrap/>
          </w:tcPr>
          <w:p>
            <w:pPr>
              <w:spacing w:after="0"/>
            </w:pPr>
            <w:r>
              <w:rPr>
                <w:b w:val="1"/>
                <w:bCs w:val="1"/>
              </w:rPr>
              <w:t xml:space="preserve">Version</w:t>
            </w:r>
          </w:p>
        </w:tc>
        <w:tc>
          <w:tcPr>
            <w:tcW w:w="4200" w:type="dxa"/>
            <w:noWrap/>
          </w:tcPr>
          <w:p>
            <w:pPr>
              <w:spacing w:after="0"/>
            </w:pPr>
            <w:r>
              <w:rPr/>
              <w:t xml:space="preserve">1.0</w:t>
            </w:r>
          </w:p>
        </w:tc>
      </w:tr>
      <w:tr>
        <w:trPr/>
        <w:tc>
          <w:tcPr>
            <w:tcW w:w="3200" w:type="dxa"/>
            <w:shd w:val="clear" w:fill="EEF3FA"/>
            <w:noWrap/>
          </w:tcPr>
          <w:p>
            <w:pPr>
              <w:spacing w:after="0"/>
            </w:pPr>
            <w:r>
              <w:rPr>
                <w:b w:val="1"/>
                <w:bCs w:val="1"/>
              </w:rPr>
              <w:t xml:space="preserve">Date d'exécution</w:t>
            </w:r>
          </w:p>
        </w:tc>
        <w:tc>
          <w:tcPr>
            <w:tcW w:w="4200" w:type="dxa"/>
            <w:noWrap/>
          </w:tcPr>
          <w:p>
            <w:pPr>
              <w:spacing w:after="0"/>
            </w:pPr>
            <w:r>
              <w:rPr/>
              <w:t xml:space="preserve">2026-10-24 21:40</w:t>
            </w:r>
          </w:p>
        </w:tc>
      </w:tr>
      <w:tr>
        <w:trPr/>
        <w:tc>
          <w:tcPr>
            <w:tcW w:w="3200" w:type="dxa"/>
            <w:shd w:val="clear" w:fill="EEF3FA"/>
            <w:noWrap/>
          </w:tcPr>
          <w:p>
            <w:pPr>
              <w:spacing w:after="0"/>
            </w:pPr>
            <w:r>
              <w:rPr>
                <w:b w:val="1"/>
                <w:bCs w:val="1"/>
              </w:rPr>
              <w:t xml:space="preserve">Cas exécutés</w:t>
            </w:r>
          </w:p>
        </w:tc>
        <w:tc>
          <w:tcPr>
            <w:tcW w:w="4200" w:type="dxa"/>
            <w:noWrap/>
          </w:tcPr>
          <w:p>
            <w:pPr>
              <w:spacing w:after="0"/>
            </w:pPr>
            <w:r>
              <w:rPr/>
              <w:t xml:space="preserve">46</w:t>
            </w:r>
          </w:p>
        </w:tc>
      </w:tr>
      <w:tr>
        <w:trPr/>
        <w:tc>
          <w:tcPr>
            <w:tcW w:w="3200" w:type="dxa"/>
            <w:shd w:val="clear" w:fill="EEF3FA"/>
            <w:noWrap/>
          </w:tcPr>
          <w:p>
            <w:pPr>
              <w:spacing w:after="0"/>
            </w:pPr>
            <w:r>
              <w:rPr>
                <w:b w:val="1"/>
                <w:bCs w:val="1"/>
              </w:rPr>
              <w:t xml:space="preserve">Taux de conformité</w:t>
            </w:r>
          </w:p>
        </w:tc>
        <w:tc>
          <w:tcPr>
            <w:tcW w:w="4200" w:type="dxa"/>
            <w:noWrap/>
          </w:tcPr>
          <w:p>
            <w:pPr>
              <w:spacing w:after="0"/>
            </w:pPr>
            <w:r>
              <w:rPr/>
              <w:t xml:space="preserve">96 %</w:t>
            </w:r>
          </w:p>
        </w:tc>
      </w:tr>
      <w:tr>
        <w:trPr/>
        <w:tc>
          <w:tcPr>
            <w:tcW w:w="3200" w:type="dxa"/>
            <w:shd w:val="clear" w:fill="EEF3FA"/>
            <w:noWrap/>
          </w:tcPr>
          <w:p>
            <w:pPr>
              <w:spacing w:after="0"/>
            </w:pPr>
            <w:r>
              <w:rPr>
                <w:b w:val="1"/>
                <w:bCs w:val="1"/>
              </w:rPr>
              <w:t xml:space="preserve">Statut du document</w:t>
            </w:r>
          </w:p>
        </w:tc>
        <w:tc>
          <w:tcPr>
            <w:tcW w:w="4200" w:type="dxa"/>
            <w:noWrap/>
          </w:tcPr>
          <w:p>
            <w:pPr>
              <w:spacing w:after="0"/>
            </w:pPr>
            <w:r>
              <w:rPr/>
              <w:t xml:space="preserve">Pour validation</w:t>
            </w:r>
          </w:p>
        </w:tc>
      </w:tr>
    </w:tbl>
    <w:p>
      <w:pPr>
        <w:sectPr>
          <w:pgSz w:orient="portrait" w:w="11905.511811023622" w:h="16837.79527559055"/>
          <w:pgMar w:top="1133.8582677165352" w:right="1133.8582677165352" w:bottom="1020.4724409448818" w:left="1133.8582677165352" w:header="720" w:footer="720" w:gutter="0"/>
          <w:cols w:num="1" w:space="720"/>
        </w:sectPr>
      </w:pPr>
    </w:p>
    <w:p>
      <w:pPr>
        <w:pStyle w:val="Heading1"/>
      </w:pPr>
      <w:bookmarkStart w:id="0" w:name="_Toc0"/>
      <w:r>
        <w:t>1. Objet, périmètre et méthode</w:t>
      </w:r>
      <w:bookmarkEnd w:id="0"/>
    </w:p>
    <w:p>
      <w:pPr>
        <w:jc w:val="both"/>
      </w:pPr>
      <w:r>
        <w:rPr/>
        <w:t xml:space="preserve">Le présent document constitue le jeu d'essai de la migration de la base de données de GEST-BUDGET-PAP de MySQL 8.4 vers PostgreSQL 18. Chaque cas décrit son objectif, les données d'entrée, les étapes, le résultat attendu, puis le résultat effectivement obtenu lors de l'exécution automatisée.</w:t>
      </w:r>
    </w:p>
    <w:p>
      <w:pPr>
        <w:pStyle w:val="Heading2"/>
      </w:pPr>
      <w:bookmarkStart w:id="1" w:name="_Toc1"/>
      <w:r>
        <w:t>Périmètre</w:t>
      </w:r>
      <w:bookmarkEnd w:id="1"/>
    </w:p>
    <w:p>
      <w:pPr>
        <w:jc w:val="both"/>
      </w:pPr>
      <w:r>
        <w:rPr/>
        <w:t xml:space="preserve">Infrastructure et sauvegarde, structure de la base (tables, colonnes, énumérations, clés, séquences, migrations), reprise des données, contraintes d'intégrité et types, authentification et sécurité, comportement de l'application (requêtes SQL corrigées, parcours de tous les écrans).</w:t>
      </w:r>
    </w:p>
    <w:p>
      <w:pPr>
        <w:pStyle w:val="Heading2"/>
      </w:pPr>
      <w:bookmarkStart w:id="2" w:name="_Toc2"/>
      <w:r>
        <w:t>Méthode d'exécution</w:t>
      </w:r>
      <w:bookmarkEnd w:id="2"/>
    </w:p>
    <w:p>
      <w:pPr>
        <w:jc w:val="both"/>
      </w:pPr>
      <w:r>
        <w:rPr/>
        <w:t xml:space="preserve">Les cas sont exécutés par le script database/scripts/jeu_essai_postgresql.php, rejouable à volonté. Toute écriture de test a lieu dans un point de sauvegarde annulé. Seules les connexions réelles (AUT-01, AUT-04) laissent les traces normales d'une connexion : session, journal de connexion, journal d'audit, date de dernière connexion du compte directeur.plan@ceeac.test. La trace d'échec créée par AUT-02 est supprimée après contrôle. Les comparaisons de données s'appuient sur la base MySQL d'origine, conservée en lecture seule.</w:t>
      </w:r>
    </w:p>
    <w:p>
      <w:pPr>
        <w:pStyle w:val="Heading2"/>
      </w:pPr>
      <w:bookmarkStart w:id="3" w:name="_Toc3"/>
      <w:r>
        <w:t>Historique des exécutions</w:t>
      </w:r>
      <w:bookmarkEnd w:id="3"/>
    </w:p>
    <w:p>
      <w:pPr>
        <w:jc w:val="both"/>
      </w:pPr>
      <w:r>
        <w:rPr/>
        <w:t xml:space="preserve">Une première exécution (24/10/2026, 21 h 32) avait donné 39 cas conformes, 4 non conformes et 3 réserves : la base PostgreSQL avait été recréée par un « migrate:fresh --seed » extérieur à la campagne après la copie validée, ce qui invalidait les cas de reprise des données. La base a été rechargée depuis MySQL (209 tables, 5 734 lignes, 198 séquences recalées), puis le jeu d'essai a été rejoué intégralement. Le présent document présente les résultats de cette seconde exécution. Un contrôle complémentaire du contenu, ligne à ligne, montre 204 tables identiques ; les seuls écarts proviennent des traces des connexions réelles du jeu d'essai et du cache applicatif.</w:t>
      </w:r>
    </w:p>
    <w:p>
      <w:pPr>
        <w:pStyle w:val="Heading1"/>
      </w:pPr>
      <w:bookmarkStart w:id="4" w:name="_Toc4"/>
      <w:r>
        <w:t>2. Environnement d'exécution</w:t>
      </w:r>
      <w:bookmarkEnd w:id="4"/>
    </w:p>
    <w:tbl>
      <w:tblGrid>
        <w:gridCol w:w="3200" w:type="dxa"/>
        <w:gridCol w:w="5800" w:type="dxa"/>
      </w:tblGrid>
      <w:tblPr>
        <w:tblStyle w:val="grille"/>
      </w:tblPr>
      <w:tr>
        <w:trPr/>
        <w:tc>
          <w:tcPr>
            <w:tcW w:w="3200" w:type="dxa"/>
            <w:shd w:val="clear" w:fill="EEF3FA"/>
            <w:noWrap/>
          </w:tcPr>
          <w:p>
            <w:pPr>
              <w:spacing w:after="0"/>
            </w:pPr>
            <w:r>
              <w:rPr>
                <w:b w:val="1"/>
                <w:bCs w:val="1"/>
              </w:rPr>
              <w:t xml:space="preserve">Date d'exécution</w:t>
            </w:r>
          </w:p>
        </w:tc>
        <w:tc>
          <w:tcPr>
            <w:tcW w:w="5800" w:type="dxa"/>
            <w:noWrap/>
          </w:tcPr>
          <w:p>
            <w:pPr>
              <w:spacing w:after="0"/>
            </w:pPr>
            <w:r>
              <w:rPr/>
              <w:t xml:space="preserve">2026-10-24 21:40 (heure locale, WAT)</w:t>
            </w:r>
          </w:p>
        </w:tc>
      </w:tr>
      <w:tr>
        <w:trPr/>
        <w:tc>
          <w:tcPr>
            <w:tcW w:w="3200" w:type="dxa"/>
            <w:shd w:val="clear" w:fill="EEF3FA"/>
            <w:noWrap/>
          </w:tcPr>
          <w:p>
            <w:pPr>
              <w:spacing w:after="0"/>
            </w:pPr>
            <w:r>
              <w:rPr>
                <w:b w:val="1"/>
                <w:bCs w:val="1"/>
              </w:rPr>
              <w:t xml:space="preserve">Poste</w:t>
            </w:r>
          </w:p>
        </w:tc>
        <w:tc>
          <w:tcPr>
            <w:tcW w:w="5800" w:type="dxa"/>
            <w:noWrap/>
          </w:tcPr>
          <w:p>
            <w:pPr>
              <w:spacing w:after="0"/>
            </w:pPr>
            <w:r>
              <w:rPr/>
              <w:t xml:space="preserve">DESKTOP-8D0B7FA</w:t>
            </w:r>
          </w:p>
        </w:tc>
      </w:tr>
      <w:tr>
        <w:trPr/>
        <w:tc>
          <w:tcPr>
            <w:tcW w:w="3200" w:type="dxa"/>
            <w:shd w:val="clear" w:fill="EEF3FA"/>
            <w:noWrap/>
          </w:tcPr>
          <w:p>
            <w:pPr>
              <w:spacing w:after="0"/>
            </w:pPr>
            <w:r>
              <w:rPr>
                <w:b w:val="1"/>
                <w:bCs w:val="1"/>
              </w:rPr>
              <w:t xml:space="preserve">SGBD cible</w:t>
            </w:r>
          </w:p>
        </w:tc>
        <w:tc>
          <w:tcPr>
            <w:tcW w:w="5800" w:type="dxa"/>
            <w:noWrap/>
          </w:tcPr>
          <w:p>
            <w:pPr>
              <w:spacing w:after="0"/>
            </w:pPr>
            <w:r>
              <w:rPr/>
              <w:t xml:space="preserve">PostgreSQL 18.4 on x86_64-windows — 127.0.0.1:5433, base gest_budget_pap</w:t>
            </w:r>
          </w:p>
        </w:tc>
      </w:tr>
      <w:tr>
        <w:trPr/>
        <w:tc>
          <w:tcPr>
            <w:tcW w:w="3200" w:type="dxa"/>
            <w:shd w:val="clear" w:fill="EEF3FA"/>
            <w:noWrap/>
          </w:tcPr>
          <w:p>
            <w:pPr>
              <w:spacing w:after="0"/>
            </w:pPr>
            <w:r>
              <w:rPr>
                <w:b w:val="1"/>
                <w:bCs w:val="1"/>
              </w:rPr>
              <w:t xml:space="preserve">SGBD source (référence)</w:t>
            </w:r>
          </w:p>
        </w:tc>
        <w:tc>
          <w:tcPr>
            <w:tcW w:w="5800" w:type="dxa"/>
            <w:noWrap/>
          </w:tcPr>
          <w:p>
            <w:pPr>
              <w:spacing w:after="0"/>
            </w:pPr>
            <w:r>
              <w:rPr/>
              <w:t xml:space="preserve">MySQL 8.0.30 — base gest_budget_pap (Laragon)</w:t>
            </w:r>
          </w:p>
        </w:tc>
      </w:tr>
      <w:tr>
        <w:trPr/>
        <w:tc>
          <w:tcPr>
            <w:tcW w:w="3200" w:type="dxa"/>
            <w:shd w:val="clear" w:fill="EEF3FA"/>
            <w:noWrap/>
          </w:tcPr>
          <w:p>
            <w:pPr>
              <w:spacing w:after="0"/>
            </w:pPr>
            <w:r>
              <w:rPr>
                <w:b w:val="1"/>
                <w:bCs w:val="1"/>
              </w:rPr>
              <w:t xml:space="preserve">Application</w:t>
            </w:r>
          </w:p>
        </w:tc>
        <w:tc>
          <w:tcPr>
            <w:tcW w:w="5800" w:type="dxa"/>
            <w:noWrap/>
          </w:tcPr>
          <w:p>
            <w:pPr>
              <w:spacing w:after="0"/>
            </w:pPr>
            <w:r>
              <w:rPr/>
              <w:t xml:space="preserve">GEST-BUDGET-PAP — Laravel 13.15.0, PHP 8.3.10</w:t>
            </w:r>
          </w:p>
        </w:tc>
      </w:tr>
      <w:tr>
        <w:trPr/>
        <w:tc>
          <w:tcPr>
            <w:tcW w:w="3200" w:type="dxa"/>
            <w:shd w:val="clear" w:fill="EEF3FA"/>
            <w:noWrap/>
          </w:tcPr>
          <w:p>
            <w:pPr>
              <w:spacing w:after="0"/>
            </w:pPr>
            <w:r>
              <w:rPr>
                <w:b w:val="1"/>
                <w:bCs w:val="1"/>
              </w:rPr>
              <w:t xml:space="preserve">URL testée</w:t>
            </w:r>
          </w:p>
        </w:tc>
        <w:tc>
          <w:tcPr>
            <w:tcW w:w="5800" w:type="dxa"/>
            <w:noWrap/>
          </w:tcPr>
          <w:p>
            <w:pPr>
              <w:spacing w:after="0"/>
            </w:pPr>
            <w:r>
              <w:rPr/>
              <w:t xml:space="preserve">http://budget-pap-suivi-ceeac.test</w:t>
            </w:r>
          </w:p>
        </w:tc>
      </w:tr>
    </w:tbl>
    <w:p>
      <w:pPr>
        <w:pStyle w:val="Heading1"/>
      </w:pPr>
      <w:bookmarkStart w:id="5" w:name="_Toc5"/>
      <w:r>
        <w:t>3. Conventions de statut</w:t>
      </w:r>
      <w:bookmarkEnd w:id="5"/>
    </w:p>
    <w:tbl>
      <w:tblGrid>
        <w:gridCol w:w="2200" w:type="dxa"/>
        <w:gridCol w:w="6800" w:type="dxa"/>
      </w:tblGrid>
      <w:tblPr>
        <w:tblStyle w:val="grille"/>
      </w:tblPr>
      <w:tr>
        <w:trPr/>
        <w:tc>
          <w:tcPr>
            <w:tcW w:w="2200" w:type="dxa"/>
            <w:shd w:val="clear" w:fill="E6F4EA"/>
            <w:noWrap/>
          </w:tcPr>
          <w:p>
            <w:pPr>
              <w:spacing w:after="0"/>
            </w:pPr>
            <w:r>
              <w:rPr>
                <w:color w:val="1E7E34"/>
                <w:b w:val="1"/>
                <w:bCs w:val="1"/>
              </w:rPr>
              <w:t xml:space="preserve">CONFORME</w:t>
            </w:r>
          </w:p>
        </w:tc>
        <w:tc>
          <w:tcPr>
            <w:tcW w:w="6800" w:type="dxa"/>
            <w:noWrap/>
          </w:tcPr>
          <w:p>
            <w:pPr>
              <w:spacing w:after="0"/>
            </w:pPr>
            <w:r>
              <w:rPr/>
              <w:t xml:space="preserve">Le résultat obtenu correspond au résultat attendu.</w:t>
            </w:r>
          </w:p>
        </w:tc>
      </w:tr>
      <w:tr>
        <w:trPr/>
        <w:tc>
          <w:tcPr>
            <w:tcW w:w="2200" w:type="dxa"/>
            <w:shd w:val="clear" w:fill="FBE9EB"/>
            <w:noWrap/>
          </w:tcPr>
          <w:p>
            <w:pPr>
              <w:spacing w:after="0"/>
            </w:pPr>
            <w:r>
              <w:rPr>
                <w:color w:val="B02A37"/>
                <w:b w:val="1"/>
                <w:bCs w:val="1"/>
              </w:rPr>
              <w:t xml:space="preserve">NON CONFORME</w:t>
            </w:r>
          </w:p>
        </w:tc>
        <w:tc>
          <w:tcPr>
            <w:tcW w:w="6800" w:type="dxa"/>
            <w:noWrap/>
          </w:tcPr>
          <w:p>
            <w:pPr>
              <w:spacing w:after="0"/>
            </w:pPr>
            <w:r>
              <w:rPr/>
              <w:t xml:space="preserve">Le résultat obtenu diffère du résultat attendu : anomalie à corriger avant validation.</w:t>
            </w:r>
          </w:p>
        </w:tc>
      </w:tr>
      <w:tr>
        <w:trPr/>
        <w:tc>
          <w:tcPr>
            <w:tcW w:w="2200" w:type="dxa"/>
            <w:shd w:val="clear" w:fill="FFF4E0"/>
            <w:noWrap/>
          </w:tcPr>
          <w:p>
            <w:pPr>
              <w:spacing w:after="0"/>
            </w:pPr>
            <w:r>
              <w:rPr>
                <w:color w:val="8A5A00"/>
                <w:b w:val="1"/>
                <w:bCs w:val="1"/>
              </w:rPr>
              <w:t xml:space="preserve">RÉSERVE</w:t>
            </w:r>
          </w:p>
        </w:tc>
        <w:tc>
          <w:tcPr>
            <w:tcW w:w="6800" w:type="dxa"/>
            <w:noWrap/>
          </w:tcPr>
          <w:p>
            <w:pPr>
              <w:spacing w:after="0"/>
            </w:pPr>
            <w:r>
              <w:rPr/>
              <w:t xml:space="preserve">Écart connu et analysé, non bloquant pour l'exploitation actuelle, avec action recommandée.</w:t>
            </w:r>
          </w:p>
        </w:tc>
      </w:tr>
    </w:tbl>
    <w:p>
      <w:pPr>
        <w:pStyle w:val="Heading1"/>
      </w:pPr>
      <w:bookmarkStart w:id="6" w:name="_Toc6"/>
      <w:r>
        <w:t>4. Synthèse des résultats</w:t>
      </w:r>
      <w:bookmarkEnd w:id="6"/>
    </w:p>
    <w:p>
      <w:pPr/>
      <w:r>
        <w:rPr>
          <w:b w:val="1"/>
          <w:bCs w:val="1"/>
        </w:rPr>
        <w:t xml:space="preserve">46 cas exécutés : 44 conformes, 0 non conformes, 2 sous réserve. Taux de conformité : 96 %.</w:t>
      </w:r>
    </w:p>
    <w:tbl>
      <w:tblGrid>
        <w:gridCol w:w="3000" w:type="dxa"/>
        <w:gridCol w:w="1200" w:type="dxa"/>
        <w:gridCol w:w="1600" w:type="dxa"/>
        <w:gridCol w:w="1600" w:type="dxa"/>
        <w:gridCol w:w="1600" w:type="dxa"/>
      </w:tblGrid>
      <w:tblPr>
        <w:tblStyle w:val="grille"/>
      </w:tblPr>
      <w:tr>
        <w:trPr>
          <w:tblHeader w:val="1"/>
        </w:trPr>
        <w:tc>
          <w:tcPr>
            <w:tcW w:w="3000" w:type="dxa"/>
            <w:shd w:val="clear" w:fill="0A4A8F"/>
            <w:noWrap/>
          </w:tcPr>
          <w:p>
            <w:pPr>
              <w:spacing w:after="0"/>
            </w:pPr>
            <w:r>
              <w:rPr>
                <w:color w:val="FFFFFF"/>
                <w:sz w:val="18"/>
                <w:szCs w:val="18"/>
                <w:b w:val="1"/>
                <w:bCs w:val="1"/>
              </w:rPr>
              <w:t xml:space="preserve">Domaine</w:t>
            </w:r>
          </w:p>
        </w:tc>
        <w:tc>
          <w:tcPr>
            <w:tcW w:w="1200" w:type="dxa"/>
            <w:shd w:val="clear" w:fill="0A4A8F"/>
            <w:noWrap/>
          </w:tcPr>
          <w:p>
            <w:pPr>
              <w:spacing w:after="0"/>
            </w:pPr>
            <w:r>
              <w:rPr>
                <w:color w:val="FFFFFF"/>
                <w:sz w:val="18"/>
                <w:szCs w:val="18"/>
                <w:b w:val="1"/>
                <w:bCs w:val="1"/>
              </w:rPr>
              <w:t xml:space="preserve">Cas</w:t>
            </w:r>
          </w:p>
        </w:tc>
        <w:tc>
          <w:tcPr>
            <w:tcW w:w="1600" w:type="dxa"/>
            <w:shd w:val="clear" w:fill="0A4A8F"/>
            <w:noWrap/>
          </w:tcPr>
          <w:p>
            <w:pPr>
              <w:spacing w:after="0"/>
            </w:pPr>
            <w:r>
              <w:rPr>
                <w:color w:val="FFFFFF"/>
                <w:sz w:val="18"/>
                <w:szCs w:val="18"/>
                <w:b w:val="1"/>
                <w:bCs w:val="1"/>
              </w:rPr>
              <w:t xml:space="preserve">Conformes</w:t>
            </w:r>
          </w:p>
        </w:tc>
        <w:tc>
          <w:tcPr>
            <w:tcW w:w="1600" w:type="dxa"/>
            <w:shd w:val="clear" w:fill="0A4A8F"/>
            <w:noWrap/>
          </w:tcPr>
          <w:p>
            <w:pPr>
              <w:spacing w:after="0"/>
            </w:pPr>
            <w:r>
              <w:rPr>
                <w:color w:val="FFFFFF"/>
                <w:sz w:val="18"/>
                <w:szCs w:val="18"/>
                <w:b w:val="1"/>
                <w:bCs w:val="1"/>
              </w:rPr>
              <w:t xml:space="preserve">Non conformes</w:t>
            </w:r>
          </w:p>
        </w:tc>
        <w:tc>
          <w:tcPr>
            <w:tcW w:w="1600" w:type="dxa"/>
            <w:shd w:val="clear" w:fill="0A4A8F"/>
            <w:noWrap/>
          </w:tcPr>
          <w:p>
            <w:pPr>
              <w:spacing w:after="0"/>
            </w:pPr>
            <w:r>
              <w:rPr>
                <w:color w:val="FFFFFF"/>
                <w:sz w:val="18"/>
                <w:szCs w:val="18"/>
                <w:b w:val="1"/>
                <w:bCs w:val="1"/>
              </w:rPr>
              <w:t xml:space="preserve">Réserves</w:t>
            </w:r>
          </w:p>
        </w:tc>
      </w:tr>
      <w:tr>
        <w:trPr/>
        <w:tc>
          <w:tcPr>
            <w:tcW w:w="3000" w:type="dxa"/>
            <w:noWrap/>
          </w:tcPr>
          <w:p>
            <w:pPr>
              <w:spacing w:after="0"/>
            </w:pPr>
            <w:r>
              <w:rPr/>
              <w:t xml:space="preserve">Infrastructure</w:t>
            </w:r>
          </w:p>
        </w:tc>
        <w:tc>
          <w:tcPr>
            <w:tcW w:w="1600" w:type="dxa"/>
            <w:noWrap/>
          </w:tcPr>
          <w:p>
            <w:pPr>
              <w:jc w:val="center"/>
              <w:spacing w:after="0"/>
            </w:pPr>
            <w:r>
              <w:rPr/>
              <w:t xml:space="preserve">5</w:t>
            </w:r>
          </w:p>
        </w:tc>
        <w:tc>
          <w:tcPr>
            <w:tcW w:w="1600" w:type="dxa"/>
            <w:noWrap/>
          </w:tcPr>
          <w:p>
            <w:pPr>
              <w:jc w:val="center"/>
              <w:spacing w:after="0"/>
            </w:pPr>
            <w:r>
              <w:rPr/>
              <w:t xml:space="preserve">5</w:t>
            </w:r>
          </w:p>
        </w:tc>
        <w:tc>
          <w:tcPr>
            <w:tcW w:w="1600" w:type="dxa"/>
            <w:noWrap/>
          </w:tcPr>
          <w:p>
            <w:pPr>
              <w:jc w:val="center"/>
              <w:spacing w:after="0"/>
            </w:pPr>
            <w:r>
              <w:rPr/>
              <w:t xml:space="preserve">0</w:t>
            </w:r>
          </w:p>
        </w:tc>
        <w:tc>
          <w:tcPr>
            <w:tcW w:w="1600" w:type="dxa"/>
            <w:noWrap/>
          </w:tcPr>
          <w:p>
            <w:pPr>
              <w:jc w:val="center"/>
              <w:spacing w:after="0"/>
            </w:pPr>
            <w:r>
              <w:rPr/>
              <w:t xml:space="preserve">0</w:t>
            </w:r>
          </w:p>
        </w:tc>
      </w:tr>
      <w:tr>
        <w:trPr/>
        <w:tc>
          <w:tcPr>
            <w:tcW w:w="3000" w:type="dxa"/>
            <w:noWrap/>
          </w:tcPr>
          <w:p>
            <w:pPr>
              <w:spacing w:after="0"/>
            </w:pPr>
            <w:r>
              <w:rPr/>
              <w:t xml:space="preserve">Schéma</w:t>
            </w:r>
          </w:p>
        </w:tc>
        <w:tc>
          <w:tcPr>
            <w:tcW w:w="1600" w:type="dxa"/>
            <w:noWrap/>
          </w:tcPr>
          <w:p>
            <w:pPr>
              <w:jc w:val="center"/>
              <w:spacing w:after="0"/>
            </w:pPr>
            <w:r>
              <w:rPr/>
              <w:t xml:space="preserve">7</w:t>
            </w:r>
          </w:p>
        </w:tc>
        <w:tc>
          <w:tcPr>
            <w:tcW w:w="1600" w:type="dxa"/>
            <w:noWrap/>
          </w:tcPr>
          <w:p>
            <w:pPr>
              <w:jc w:val="center"/>
              <w:spacing w:after="0"/>
            </w:pPr>
            <w:r>
              <w:rPr/>
              <w:t xml:space="preserve">6</w:t>
            </w:r>
          </w:p>
        </w:tc>
        <w:tc>
          <w:tcPr>
            <w:tcW w:w="1600" w:type="dxa"/>
            <w:noWrap/>
          </w:tcPr>
          <w:p>
            <w:pPr>
              <w:jc w:val="center"/>
              <w:spacing w:after="0"/>
            </w:pPr>
            <w:r>
              <w:rPr/>
              <w:t xml:space="preserve">0</w:t>
            </w:r>
          </w:p>
        </w:tc>
        <w:tc>
          <w:tcPr>
            <w:tcW w:w="1600" w:type="dxa"/>
            <w:noWrap/>
          </w:tcPr>
          <w:p>
            <w:pPr>
              <w:jc w:val="center"/>
              <w:spacing w:after="0"/>
            </w:pPr>
            <w:r>
              <w:rPr/>
              <w:t xml:space="preserve">1</w:t>
            </w:r>
          </w:p>
        </w:tc>
      </w:tr>
      <w:tr>
        <w:trPr/>
        <w:tc>
          <w:tcPr>
            <w:tcW w:w="3000" w:type="dxa"/>
            <w:noWrap/>
          </w:tcPr>
          <w:p>
            <w:pPr>
              <w:spacing w:after="0"/>
            </w:pPr>
            <w:r>
              <w:rPr/>
              <w:t xml:space="preserve">Données</w:t>
            </w:r>
          </w:p>
        </w:tc>
        <w:tc>
          <w:tcPr>
            <w:tcW w:w="1600" w:type="dxa"/>
            <w:noWrap/>
          </w:tcPr>
          <w:p>
            <w:pPr>
              <w:jc w:val="center"/>
              <w:spacing w:after="0"/>
            </w:pPr>
            <w:r>
              <w:rPr/>
              <w:t xml:space="preserve">9</w:t>
            </w:r>
          </w:p>
        </w:tc>
        <w:tc>
          <w:tcPr>
            <w:tcW w:w="1600" w:type="dxa"/>
            <w:noWrap/>
          </w:tcPr>
          <w:p>
            <w:pPr>
              <w:jc w:val="center"/>
              <w:spacing w:after="0"/>
            </w:pPr>
            <w:r>
              <w:rPr/>
              <w:t xml:space="preserve">9</w:t>
            </w:r>
          </w:p>
        </w:tc>
        <w:tc>
          <w:tcPr>
            <w:tcW w:w="1600" w:type="dxa"/>
            <w:noWrap/>
          </w:tcPr>
          <w:p>
            <w:pPr>
              <w:jc w:val="center"/>
              <w:spacing w:after="0"/>
            </w:pPr>
            <w:r>
              <w:rPr/>
              <w:t xml:space="preserve">0</w:t>
            </w:r>
          </w:p>
        </w:tc>
        <w:tc>
          <w:tcPr>
            <w:tcW w:w="1600" w:type="dxa"/>
            <w:noWrap/>
          </w:tcPr>
          <w:p>
            <w:pPr>
              <w:jc w:val="center"/>
              <w:spacing w:after="0"/>
            </w:pPr>
            <w:r>
              <w:rPr/>
              <w:t xml:space="preserve">0</w:t>
            </w:r>
          </w:p>
        </w:tc>
      </w:tr>
      <w:tr>
        <w:trPr/>
        <w:tc>
          <w:tcPr>
            <w:tcW w:w="3000" w:type="dxa"/>
            <w:noWrap/>
          </w:tcPr>
          <w:p>
            <w:pPr>
              <w:spacing w:after="0"/>
            </w:pPr>
            <w:r>
              <w:rPr/>
              <w:t xml:space="preserve">Contraintes</w:t>
            </w:r>
          </w:p>
        </w:tc>
        <w:tc>
          <w:tcPr>
            <w:tcW w:w="1600" w:type="dxa"/>
            <w:noWrap/>
          </w:tcPr>
          <w:p>
            <w:pPr>
              <w:jc w:val="center"/>
              <w:spacing w:after="0"/>
            </w:pPr>
            <w:r>
              <w:rPr/>
              <w:t xml:space="preserve">10</w:t>
            </w:r>
          </w:p>
        </w:tc>
        <w:tc>
          <w:tcPr>
            <w:tcW w:w="1600" w:type="dxa"/>
            <w:noWrap/>
          </w:tcPr>
          <w:p>
            <w:pPr>
              <w:jc w:val="center"/>
              <w:spacing w:after="0"/>
            </w:pPr>
            <w:r>
              <w:rPr/>
              <w:t xml:space="preserve">10</w:t>
            </w:r>
          </w:p>
        </w:tc>
        <w:tc>
          <w:tcPr>
            <w:tcW w:w="1600" w:type="dxa"/>
            <w:noWrap/>
          </w:tcPr>
          <w:p>
            <w:pPr>
              <w:jc w:val="center"/>
              <w:spacing w:after="0"/>
            </w:pPr>
            <w:r>
              <w:rPr/>
              <w:t xml:space="preserve">0</w:t>
            </w:r>
          </w:p>
        </w:tc>
        <w:tc>
          <w:tcPr>
            <w:tcW w:w="1600" w:type="dxa"/>
            <w:noWrap/>
          </w:tcPr>
          <w:p>
            <w:pPr>
              <w:jc w:val="center"/>
              <w:spacing w:after="0"/>
            </w:pPr>
            <w:r>
              <w:rPr/>
              <w:t xml:space="preserve">0</w:t>
            </w:r>
          </w:p>
        </w:tc>
      </w:tr>
      <w:tr>
        <w:trPr/>
        <w:tc>
          <w:tcPr>
            <w:tcW w:w="3000" w:type="dxa"/>
            <w:noWrap/>
          </w:tcPr>
          <w:p>
            <w:pPr>
              <w:spacing w:after="0"/>
            </w:pPr>
            <w:r>
              <w:rPr/>
              <w:t xml:space="preserve">Types</w:t>
            </w:r>
          </w:p>
        </w:tc>
        <w:tc>
          <w:tcPr>
            <w:tcW w:w="1600" w:type="dxa"/>
            <w:noWrap/>
          </w:tcPr>
          <w:p>
            <w:pPr>
              <w:jc w:val="center"/>
              <w:spacing w:after="0"/>
            </w:pPr>
            <w:r>
              <w:rPr/>
              <w:t xml:space="preserve">5</w:t>
            </w:r>
          </w:p>
        </w:tc>
        <w:tc>
          <w:tcPr>
            <w:tcW w:w="1600" w:type="dxa"/>
            <w:noWrap/>
          </w:tcPr>
          <w:p>
            <w:pPr>
              <w:jc w:val="center"/>
              <w:spacing w:after="0"/>
            </w:pPr>
            <w:r>
              <w:rPr/>
              <w:t xml:space="preserve">5</w:t>
            </w:r>
          </w:p>
        </w:tc>
        <w:tc>
          <w:tcPr>
            <w:tcW w:w="1600" w:type="dxa"/>
            <w:noWrap/>
          </w:tcPr>
          <w:p>
            <w:pPr>
              <w:jc w:val="center"/>
              <w:spacing w:after="0"/>
            </w:pPr>
            <w:r>
              <w:rPr/>
              <w:t xml:space="preserve">0</w:t>
            </w:r>
          </w:p>
        </w:tc>
        <w:tc>
          <w:tcPr>
            <w:tcW w:w="1600" w:type="dxa"/>
            <w:noWrap/>
          </w:tcPr>
          <w:p>
            <w:pPr>
              <w:jc w:val="center"/>
              <w:spacing w:after="0"/>
            </w:pPr>
            <w:r>
              <w:rPr/>
              <w:t xml:space="preserve">0</w:t>
            </w:r>
          </w:p>
        </w:tc>
      </w:tr>
      <w:tr>
        <w:trPr/>
        <w:tc>
          <w:tcPr>
            <w:tcW w:w="3000" w:type="dxa"/>
            <w:noWrap/>
          </w:tcPr>
          <w:p>
            <w:pPr>
              <w:spacing w:after="0"/>
            </w:pPr>
            <w:r>
              <w:rPr/>
              <w:t xml:space="preserve">Authentification</w:t>
            </w:r>
          </w:p>
        </w:tc>
        <w:tc>
          <w:tcPr>
            <w:tcW w:w="1600" w:type="dxa"/>
            <w:noWrap/>
          </w:tcPr>
          <w:p>
            <w:pPr>
              <w:jc w:val="center"/>
              <w:spacing w:after="0"/>
            </w:pPr>
            <w:r>
              <w:rPr/>
              <w:t xml:space="preserve">4</w:t>
            </w:r>
          </w:p>
        </w:tc>
        <w:tc>
          <w:tcPr>
            <w:tcW w:w="1600" w:type="dxa"/>
            <w:noWrap/>
          </w:tcPr>
          <w:p>
            <w:pPr>
              <w:jc w:val="center"/>
              <w:spacing w:after="0"/>
            </w:pPr>
            <w:r>
              <w:rPr/>
              <w:t xml:space="preserve">4</w:t>
            </w:r>
          </w:p>
        </w:tc>
        <w:tc>
          <w:tcPr>
            <w:tcW w:w="1600" w:type="dxa"/>
            <w:noWrap/>
          </w:tcPr>
          <w:p>
            <w:pPr>
              <w:jc w:val="center"/>
              <w:spacing w:after="0"/>
            </w:pPr>
            <w:r>
              <w:rPr/>
              <w:t xml:space="preserve">0</w:t>
            </w:r>
          </w:p>
        </w:tc>
        <w:tc>
          <w:tcPr>
            <w:tcW w:w="1600" w:type="dxa"/>
            <w:noWrap/>
          </w:tcPr>
          <w:p>
            <w:pPr>
              <w:jc w:val="center"/>
              <w:spacing w:after="0"/>
            </w:pPr>
            <w:r>
              <w:rPr/>
              <w:t xml:space="preserve">0</w:t>
            </w:r>
          </w:p>
        </w:tc>
      </w:tr>
      <w:tr>
        <w:trPr/>
        <w:tc>
          <w:tcPr>
            <w:tcW w:w="3000" w:type="dxa"/>
            <w:noWrap/>
          </w:tcPr>
          <w:p>
            <w:pPr>
              <w:spacing w:after="0"/>
            </w:pPr>
            <w:r>
              <w:rPr/>
              <w:t xml:space="preserve">Application</w:t>
            </w:r>
          </w:p>
        </w:tc>
        <w:tc>
          <w:tcPr>
            <w:tcW w:w="1600" w:type="dxa"/>
            <w:noWrap/>
          </w:tcPr>
          <w:p>
            <w:pPr>
              <w:jc w:val="center"/>
              <w:spacing w:after="0"/>
            </w:pPr>
            <w:r>
              <w:rPr/>
              <w:t xml:space="preserve">6</w:t>
            </w:r>
          </w:p>
        </w:tc>
        <w:tc>
          <w:tcPr>
            <w:tcW w:w="1600" w:type="dxa"/>
            <w:noWrap/>
          </w:tcPr>
          <w:p>
            <w:pPr>
              <w:jc w:val="center"/>
              <w:spacing w:after="0"/>
            </w:pPr>
            <w:r>
              <w:rPr/>
              <w:t xml:space="preserve">5</w:t>
            </w:r>
          </w:p>
        </w:tc>
        <w:tc>
          <w:tcPr>
            <w:tcW w:w="1600" w:type="dxa"/>
            <w:noWrap/>
          </w:tcPr>
          <w:p>
            <w:pPr>
              <w:jc w:val="center"/>
              <w:spacing w:after="0"/>
            </w:pPr>
            <w:r>
              <w:rPr/>
              <w:t xml:space="preserve">0</w:t>
            </w:r>
          </w:p>
        </w:tc>
        <w:tc>
          <w:tcPr>
            <w:tcW w:w="1600" w:type="dxa"/>
            <w:noWrap/>
          </w:tcPr>
          <w:p>
            <w:pPr>
              <w:jc w:val="center"/>
              <w:spacing w:after="0"/>
            </w:pPr>
            <w:r>
              <w:rPr/>
              <w:t xml:space="preserve">1</w:t>
            </w:r>
          </w:p>
        </w:tc>
      </w:tr>
      <w:tr>
        <w:trPr/>
        <w:tc>
          <w:tcPr>
            <w:tcW w:w="3000" w:type="dxa"/>
            <w:noWrap/>
          </w:tcPr>
          <w:p>
            <w:pPr>
              <w:spacing w:after="0"/>
            </w:pPr>
            <w:r>
              <w:rPr>
                <w:b w:val="1"/>
                <w:bCs w:val="1"/>
              </w:rPr>
              <w:t xml:space="preserve">TOTAL</w:t>
            </w:r>
          </w:p>
        </w:tc>
        <w:tc>
          <w:tcPr>
            <w:tcW w:w="1600" w:type="dxa"/>
            <w:noWrap/>
          </w:tcPr>
          <w:p>
            <w:pPr>
              <w:jc w:val="center"/>
              <w:spacing w:after="0"/>
            </w:pPr>
            <w:r>
              <w:rPr>
                <w:b w:val="1"/>
                <w:bCs w:val="1"/>
              </w:rPr>
              <w:t xml:space="preserve">46</w:t>
            </w:r>
          </w:p>
        </w:tc>
        <w:tc>
          <w:tcPr>
            <w:tcW w:w="1600" w:type="dxa"/>
            <w:noWrap/>
          </w:tcPr>
          <w:p>
            <w:pPr>
              <w:jc w:val="center"/>
              <w:spacing w:after="0"/>
            </w:pPr>
            <w:r>
              <w:rPr>
                <w:b w:val="1"/>
                <w:bCs w:val="1"/>
              </w:rPr>
              <w:t xml:space="preserve">44</w:t>
            </w:r>
          </w:p>
        </w:tc>
        <w:tc>
          <w:tcPr>
            <w:tcW w:w="1600" w:type="dxa"/>
            <w:noWrap/>
          </w:tcPr>
          <w:p>
            <w:pPr>
              <w:jc w:val="center"/>
              <w:spacing w:after="0"/>
            </w:pPr>
            <w:r>
              <w:rPr>
                <w:b w:val="1"/>
                <w:bCs w:val="1"/>
              </w:rPr>
              <w:t xml:space="preserve">0</w:t>
            </w:r>
          </w:p>
        </w:tc>
        <w:tc>
          <w:tcPr>
            <w:tcW w:w="1600" w:type="dxa"/>
            <w:noWrap/>
          </w:tcPr>
          <w:p>
            <w:pPr>
              <w:jc w:val="center"/>
              <w:spacing w:after="0"/>
            </w:pPr>
            <w:r>
              <w:rPr>
                <w:b w:val="1"/>
                <w:bCs w:val="1"/>
              </w:rPr>
              <w:t xml:space="preserve">2</w:t>
            </w:r>
          </w:p>
        </w:tc>
      </w:tr>
    </w:tbl>
    <w:p>
      <w:pPr>
        <w:pStyle w:val="Heading1"/>
      </w:pPr>
      <w:bookmarkStart w:id="7" w:name="_Toc7"/>
      <w:r>
        <w:t>5. Liste des cas</w:t>
      </w:r>
      <w:bookmarkEnd w:id="7"/>
    </w:p>
    <w:tbl>
      <w:tblGrid>
        <w:gridCol w:w="900" w:type="dxa"/>
        <w:gridCol w:w="1500" w:type="dxa"/>
        <w:gridCol w:w="3300" w:type="dxa"/>
        <w:gridCol w:w="2100" w:type="dxa"/>
        <w:gridCol w:w="1400" w:type="dxa"/>
      </w:tblGrid>
      <w:tblPr>
        <w:tblStyle w:val="grille"/>
      </w:tblPr>
      <w:tr>
        <w:trPr>
          <w:tblHeader w:val="1"/>
        </w:trPr>
        <w:tc>
          <w:tcPr>
            <w:tcW w:w="900" w:type="dxa"/>
            <w:shd w:val="clear" w:fill="0A4A8F"/>
            <w:noWrap/>
          </w:tcPr>
          <w:p>
            <w:pPr>
              <w:spacing w:after="0"/>
            </w:pPr>
            <w:r>
              <w:rPr>
                <w:color w:val="FFFFFF"/>
                <w:sz w:val="18"/>
                <w:szCs w:val="18"/>
                <w:b w:val="1"/>
                <w:bCs w:val="1"/>
              </w:rPr>
              <w:t xml:space="preserve">N°</w:t>
            </w:r>
          </w:p>
        </w:tc>
        <w:tc>
          <w:tcPr>
            <w:tcW w:w="1500" w:type="dxa"/>
            <w:shd w:val="clear" w:fill="0A4A8F"/>
            <w:noWrap/>
          </w:tcPr>
          <w:p>
            <w:pPr>
              <w:spacing w:after="0"/>
            </w:pPr>
            <w:r>
              <w:rPr>
                <w:color w:val="FFFFFF"/>
                <w:sz w:val="18"/>
                <w:szCs w:val="18"/>
                <w:b w:val="1"/>
                <w:bCs w:val="1"/>
              </w:rPr>
              <w:t xml:space="preserve">Domaine</w:t>
            </w:r>
          </w:p>
        </w:tc>
        <w:tc>
          <w:tcPr>
            <w:tcW w:w="3300" w:type="dxa"/>
            <w:shd w:val="clear" w:fill="0A4A8F"/>
            <w:noWrap/>
          </w:tcPr>
          <w:p>
            <w:pPr>
              <w:spacing w:after="0"/>
            </w:pPr>
            <w:r>
              <w:rPr>
                <w:color w:val="FFFFFF"/>
                <w:sz w:val="18"/>
                <w:szCs w:val="18"/>
                <w:b w:val="1"/>
                <w:bCs w:val="1"/>
              </w:rPr>
              <w:t xml:space="preserve">Intitulé</w:t>
            </w:r>
          </w:p>
        </w:tc>
        <w:tc>
          <w:tcPr>
            <w:tcW w:w="2100" w:type="dxa"/>
            <w:shd w:val="clear" w:fill="0A4A8F"/>
            <w:noWrap/>
          </w:tcPr>
          <w:p>
            <w:pPr>
              <w:spacing w:after="0"/>
            </w:pPr>
            <w:r>
              <w:rPr>
                <w:color w:val="FFFFFF"/>
                <w:sz w:val="18"/>
                <w:szCs w:val="18"/>
                <w:b w:val="1"/>
                <w:bCs w:val="1"/>
              </w:rPr>
              <w:t xml:space="preserve">Résultat attendu</w:t>
            </w:r>
          </w:p>
        </w:tc>
        <w:tc>
          <w:tcPr>
            <w:tcW w:w="1400" w:type="dxa"/>
            <w:shd w:val="clear" w:fill="0A4A8F"/>
            <w:noWrap/>
          </w:tcPr>
          <w:p>
            <w:pPr>
              <w:spacing w:after="0"/>
            </w:pPr>
            <w:r>
              <w:rPr>
                <w:color w:val="FFFFFF"/>
                <w:sz w:val="18"/>
                <w:szCs w:val="18"/>
                <w:b w:val="1"/>
                <w:bCs w:val="1"/>
              </w:rPr>
              <w:t xml:space="preserve">Statut</w:t>
            </w:r>
          </w:p>
        </w:tc>
      </w:tr>
      <w:tr>
        <w:trPr>
          <w:cantSplit w:val="1"/>
        </w:trPr>
        <w:tc>
          <w:tcPr>
            <w:tcW w:w="900" w:type="dxa"/>
            <w:noWrap/>
          </w:tcPr>
          <w:p>
            <w:pPr>
              <w:spacing w:after="0"/>
            </w:pPr>
            <w:r>
              <w:rPr>
                <w:sz w:val="18"/>
                <w:szCs w:val="18"/>
                <w:b w:val="1"/>
                <w:bCs w:val="1"/>
              </w:rPr>
              <w:t xml:space="preserve">INF-01</w:t>
            </w:r>
          </w:p>
        </w:tc>
        <w:tc>
          <w:tcPr>
            <w:tcW w:w="1500" w:type="dxa"/>
            <w:noWrap/>
          </w:tcPr>
          <w:p>
            <w:pPr>
              <w:spacing w:after="0"/>
            </w:pPr>
            <w:r>
              <w:rPr>
                <w:sz w:val="18"/>
                <w:szCs w:val="18"/>
              </w:rPr>
              <w:t xml:space="preserve">Infrastructure</w:t>
            </w:r>
          </w:p>
        </w:tc>
        <w:tc>
          <w:tcPr>
            <w:tcW w:w="3300" w:type="dxa"/>
            <w:noWrap/>
          </w:tcPr>
          <w:p>
            <w:pPr>
              <w:spacing w:after="0"/>
            </w:pPr>
            <w:r>
              <w:rPr>
                <w:sz w:val="18"/>
                <w:szCs w:val="18"/>
              </w:rPr>
              <w:t xml:space="preserve">Version du serveur PostgreSQL</w:t>
            </w:r>
          </w:p>
        </w:tc>
        <w:tc>
          <w:tcPr>
            <w:tcW w:w="2100" w:type="dxa"/>
            <w:noWrap/>
          </w:tcPr>
          <w:p>
            <w:pPr>
              <w:spacing w:after="0"/>
            </w:pPr>
            <w:r>
              <w:rPr>
                <w:sz w:val="16"/>
                <w:szCs w:val="16"/>
              </w:rPr>
              <w:t xml:space="preserve">Version 18.x, port 5433.</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INF-02</w:t>
            </w:r>
          </w:p>
        </w:tc>
        <w:tc>
          <w:tcPr>
            <w:tcW w:w="1500" w:type="dxa"/>
            <w:noWrap/>
          </w:tcPr>
          <w:p>
            <w:pPr>
              <w:spacing w:after="0"/>
            </w:pPr>
            <w:r>
              <w:rPr>
                <w:sz w:val="18"/>
                <w:szCs w:val="18"/>
              </w:rPr>
              <w:t xml:space="preserve">Infrastructure</w:t>
            </w:r>
          </w:p>
        </w:tc>
        <w:tc>
          <w:tcPr>
            <w:tcW w:w="3300" w:type="dxa"/>
            <w:noWrap/>
          </w:tcPr>
          <w:p>
            <w:pPr>
              <w:spacing w:after="0"/>
            </w:pPr>
            <w:r>
              <w:rPr>
                <w:sz w:val="18"/>
                <w:szCs w:val="18"/>
              </w:rPr>
              <w:t xml:space="preserve">Connexion Laravel par défaut</w:t>
            </w:r>
          </w:p>
        </w:tc>
        <w:tc>
          <w:tcPr>
            <w:tcW w:w="2100" w:type="dxa"/>
            <w:noWrap/>
          </w:tcPr>
          <w:p>
            <w:pPr>
              <w:spacing w:after="0"/>
            </w:pPr>
            <w:r>
              <w:rPr>
                <w:sz w:val="16"/>
                <w:szCs w:val="16"/>
              </w:rPr>
              <w:t xml:space="preserve">Pilote pgsql, base gest_budget_pap, port 5433.</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INF-03</w:t>
            </w:r>
          </w:p>
        </w:tc>
        <w:tc>
          <w:tcPr>
            <w:tcW w:w="1500" w:type="dxa"/>
            <w:noWrap/>
          </w:tcPr>
          <w:p>
            <w:pPr>
              <w:spacing w:after="0"/>
            </w:pPr>
            <w:r>
              <w:rPr>
                <w:sz w:val="18"/>
                <w:szCs w:val="18"/>
              </w:rPr>
              <w:t xml:space="preserve">Infrastructure</w:t>
            </w:r>
          </w:p>
        </w:tc>
        <w:tc>
          <w:tcPr>
            <w:tcW w:w="3300" w:type="dxa"/>
            <w:noWrap/>
          </w:tcPr>
          <w:p>
            <w:pPr>
              <w:spacing w:after="0"/>
            </w:pPr>
            <w:r>
              <w:rPr>
                <w:sz w:val="18"/>
                <w:szCs w:val="18"/>
              </w:rPr>
              <w:t xml:space="preserve">Extensions PHP PostgreSQL</w:t>
            </w:r>
          </w:p>
        </w:tc>
        <w:tc>
          <w:tcPr>
            <w:tcW w:w="2100" w:type="dxa"/>
            <w:noWrap/>
          </w:tcPr>
          <w:p>
            <w:pPr>
              <w:spacing w:after="0"/>
            </w:pPr>
            <w:r>
              <w:rPr>
                <w:sz w:val="16"/>
                <w:szCs w:val="16"/>
              </w:rPr>
              <w:t xml:space="preserve">Les deux extensions sont chargées.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INF-04</w:t>
            </w:r>
          </w:p>
        </w:tc>
        <w:tc>
          <w:tcPr>
            <w:tcW w:w="1500" w:type="dxa"/>
            <w:noWrap/>
          </w:tcPr>
          <w:p>
            <w:pPr>
              <w:spacing w:after="0"/>
            </w:pPr>
            <w:r>
              <w:rPr>
                <w:sz w:val="18"/>
                <w:szCs w:val="18"/>
              </w:rPr>
              <w:t xml:space="preserve">Infrastructure</w:t>
            </w:r>
          </w:p>
        </w:tc>
        <w:tc>
          <w:tcPr>
            <w:tcW w:w="3300" w:type="dxa"/>
            <w:noWrap/>
          </w:tcPr>
          <w:p>
            <w:pPr>
              <w:spacing w:after="0"/>
            </w:pPr>
            <w:r>
              <w:rPr>
                <w:sz w:val="18"/>
                <w:szCs w:val="18"/>
              </w:rPr>
              <w:t xml:space="preserve">Encodage et collation de la base</w:t>
            </w:r>
          </w:p>
        </w:tc>
        <w:tc>
          <w:tcPr>
            <w:tcW w:w="2100" w:type="dxa"/>
            <w:noWrap/>
          </w:tcPr>
          <w:p>
            <w:pPr>
              <w:spacing w:after="0"/>
            </w:pPr>
            <w:r>
              <w:rPr>
                <w:sz w:val="16"/>
                <w:szCs w:val="16"/>
              </w:rPr>
              <w:t xml:space="preserve">Encodage UTF8.</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INF-05</w:t>
            </w:r>
          </w:p>
        </w:tc>
        <w:tc>
          <w:tcPr>
            <w:tcW w:w="1500" w:type="dxa"/>
            <w:noWrap/>
          </w:tcPr>
          <w:p>
            <w:pPr>
              <w:spacing w:after="0"/>
            </w:pPr>
            <w:r>
              <w:rPr>
                <w:sz w:val="18"/>
                <w:szCs w:val="18"/>
              </w:rPr>
              <w:t xml:space="preserve">Infrastructure</w:t>
            </w:r>
          </w:p>
        </w:tc>
        <w:tc>
          <w:tcPr>
            <w:tcW w:w="3300" w:type="dxa"/>
            <w:noWrap/>
          </w:tcPr>
          <w:p>
            <w:pPr>
              <w:spacing w:after="0"/>
            </w:pPr>
            <w:r>
              <w:rPr>
                <w:sz w:val="18"/>
                <w:szCs w:val="18"/>
              </w:rPr>
              <w:t xml:space="preserve">Sauvegarde pg_dump</w:t>
            </w:r>
          </w:p>
        </w:tc>
        <w:tc>
          <w:tcPr>
            <w:tcW w:w="2100" w:type="dxa"/>
            <w:noWrap/>
          </w:tcPr>
          <w:p>
            <w:pPr>
              <w:spacing w:after="0"/>
            </w:pPr>
            <w:r>
              <w:rPr>
                <w:sz w:val="16"/>
                <w:szCs w:val="16"/>
              </w:rPr>
              <w:t xml:space="preserve">Code retour 0, fichier non vide contenant CREATE TABLE.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SCH-01</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Parité des tables</w:t>
            </w:r>
          </w:p>
        </w:tc>
        <w:tc>
          <w:tcPr>
            <w:tcW w:w="2100" w:type="dxa"/>
            <w:noWrap/>
          </w:tcPr>
          <w:p>
            <w:pPr>
              <w:spacing w:after="0"/>
            </w:pPr>
            <w:r>
              <w:rPr>
                <w:sz w:val="16"/>
                <w:szCs w:val="16"/>
              </w:rPr>
              <w:t xml:space="preserve">Mêmes tables des deux côtés, aucune absente.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SCH-02</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Parité des colonnes</w:t>
            </w:r>
          </w:p>
        </w:tc>
        <w:tc>
          <w:tcPr>
            <w:tcW w:w="2100" w:type="dxa"/>
            <w:noWrap/>
          </w:tcPr>
          <w:p>
            <w:pPr>
              <w:spacing w:after="0"/>
            </w:pPr>
            <w:r>
              <w:rPr>
                <w:sz w:val="16"/>
                <w:szCs w:val="16"/>
              </w:rPr>
              <w:t xml:space="preserve">0 colonne manquante.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SCH-03</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Énumérations ↔ contraintes CHECK</w:t>
            </w:r>
          </w:p>
        </w:tc>
        <w:tc>
          <w:tcPr>
            <w:tcW w:w="2100" w:type="dxa"/>
            <w:noWrap/>
          </w:tcPr>
          <w:p>
            <w:pPr>
              <w:spacing w:after="0"/>
            </w:pPr>
            <w:r>
              <w:rPr>
                <w:sz w:val="16"/>
                <w:szCs w:val="16"/>
              </w:rPr>
              <w:t xml:space="preserve">Toutes les listes sont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SCH-04</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Clés étrangères</w:t>
            </w:r>
          </w:p>
        </w:tc>
        <w:tc>
          <w:tcPr>
            <w:tcW w:w="2100" w:type="dxa"/>
            <w:noWrap/>
          </w:tcPr>
          <w:p>
            <w:pPr>
              <w:spacing w:after="0"/>
            </w:pPr>
            <w:r>
              <w:rPr>
                <w:sz w:val="16"/>
                <w:szCs w:val="16"/>
              </w:rPr>
              <w:t xml:space="preserve">Mêmes clés étrangères, mêmes règles.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SCH-05</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Migrations Laravel</w:t>
            </w:r>
          </w:p>
        </w:tc>
        <w:tc>
          <w:tcPr>
            <w:tcW w:w="2100" w:type="dxa"/>
            <w:noWrap/>
          </w:tcPr>
          <w:p>
            <w:pPr>
              <w:spacing w:after="0"/>
            </w:pPr>
            <w:r>
              <w:rPr>
                <w:sz w:val="16"/>
                <w:szCs w:val="16"/>
              </w:rPr>
              <w:t xml:space="preserve">Aucune migration MySQL manquante ; seules des migrations correctives PG en plus.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SCH-06</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Séquences d'identifiants</w:t>
            </w:r>
          </w:p>
        </w:tc>
        <w:tc>
          <w:tcPr>
            <w:tcW w:w="2100" w:type="dxa"/>
            <w:noWrap/>
          </w:tcPr>
          <w:p>
            <w:pPr>
              <w:spacing w:after="0"/>
            </w:pPr>
            <w:r>
              <w:rPr>
                <w:sz w:val="16"/>
                <w:szCs w:val="16"/>
              </w:rPr>
              <w:t xml:space="preserve">Prochaine valeur &gt; MAX(id) pour toutes les séquences.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SCH-07</w:t>
            </w:r>
          </w:p>
        </w:tc>
        <w:tc>
          <w:tcPr>
            <w:tcW w:w="1500" w:type="dxa"/>
            <w:noWrap/>
          </w:tcPr>
          <w:p>
            <w:pPr>
              <w:spacing w:after="0"/>
            </w:pPr>
            <w:r>
              <w:rPr>
                <w:sz w:val="18"/>
                <w:szCs w:val="18"/>
              </w:rPr>
              <w:t xml:space="preserve">Schéma</w:t>
            </w:r>
          </w:p>
        </w:tc>
        <w:tc>
          <w:tcPr>
            <w:tcW w:w="3300" w:type="dxa"/>
            <w:noWrap/>
          </w:tcPr>
          <w:p>
            <w:pPr>
              <w:spacing w:after="0"/>
            </w:pPr>
            <w:r>
              <w:rPr>
                <w:sz w:val="18"/>
                <w:szCs w:val="18"/>
              </w:rPr>
              <w:t xml:space="preserve">Index sur clés étrangères</w:t>
            </w:r>
          </w:p>
        </w:tc>
        <w:tc>
          <w:tcPr>
            <w:tcW w:w="2100" w:type="dxa"/>
            <w:noWrap/>
          </w:tcPr>
          <w:p>
            <w:pPr>
              <w:spacing w:after="0"/>
            </w:pPr>
            <w:r>
              <w:rPr>
                <w:sz w:val="16"/>
                <w:szCs w:val="16"/>
              </w:rPr>
              <w:t xml:space="preserve">0 FK sans index.</w:t>
            </w:r>
          </w:p>
        </w:tc>
        <w:tc>
          <w:tcPr>
            <w:tcW w:w="1400" w:type="dxa"/>
            <w:shd w:val="clear" w:fill="FFF4E0"/>
            <w:noWrap/>
          </w:tcPr>
          <w:p>
            <w:pPr>
              <w:spacing w:after="0"/>
            </w:pPr>
            <w:r>
              <w:rPr>
                <w:color w:val="8A5A00"/>
                <w:sz w:val="16"/>
                <w:szCs w:val="16"/>
                <w:b w:val="1"/>
                <w:bCs w:val="1"/>
              </w:rPr>
              <w:t xml:space="preserve">RÉSERVE</w:t>
            </w:r>
          </w:p>
        </w:tc>
      </w:tr>
      <w:tr>
        <w:trPr>
          <w:cantSplit w:val="1"/>
        </w:trPr>
        <w:tc>
          <w:tcPr>
            <w:tcW w:w="900" w:type="dxa"/>
            <w:noWrap/>
          </w:tcPr>
          <w:p>
            <w:pPr>
              <w:spacing w:after="0"/>
            </w:pPr>
            <w:r>
              <w:rPr>
                <w:sz w:val="18"/>
                <w:szCs w:val="18"/>
                <w:b w:val="1"/>
                <w:bCs w:val="1"/>
              </w:rPr>
              <w:t xml:space="preserve">DON-01</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Volume global</w:t>
            </w:r>
          </w:p>
        </w:tc>
        <w:tc>
          <w:tcPr>
            <w:tcW w:w="2100" w:type="dxa"/>
            <w:noWrap/>
          </w:tcPr>
          <w:p>
            <w:pPr>
              <w:spacing w:after="0"/>
            </w:pPr>
            <w:r>
              <w:rPr>
                <w:sz w:val="16"/>
                <w:szCs w:val="16"/>
              </w:rPr>
              <w:t xml:space="preserve">Totaux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DON-02</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Volume — Utilisateurs</w:t>
            </w:r>
          </w:p>
        </w:tc>
        <w:tc>
          <w:tcPr>
            <w:tcW w:w="2100" w:type="dxa"/>
            <w:noWrap/>
          </w:tcPr>
          <w:p>
            <w:pPr>
              <w:spacing w:after="0"/>
            </w:pPr>
            <w:r>
              <w:rPr>
                <w:sz w:val="16"/>
                <w:szCs w:val="16"/>
              </w:rPr>
              <w:t xml:space="preserve">Volumes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DON-03</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Volume — Structures (organigramme)</w:t>
            </w:r>
          </w:p>
        </w:tc>
        <w:tc>
          <w:tcPr>
            <w:tcW w:w="2100" w:type="dxa"/>
            <w:noWrap/>
          </w:tcPr>
          <w:p>
            <w:pPr>
              <w:spacing w:after="0"/>
            </w:pPr>
            <w:r>
              <w:rPr>
                <w:sz w:val="16"/>
                <w:szCs w:val="16"/>
              </w:rPr>
              <w:t xml:space="preserve">Volumes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DON-04</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Volume — Lignes budgétaires</w:t>
            </w:r>
          </w:p>
        </w:tc>
        <w:tc>
          <w:tcPr>
            <w:tcW w:w="2100" w:type="dxa"/>
            <w:noWrap/>
          </w:tcPr>
          <w:p>
            <w:pPr>
              <w:spacing w:after="0"/>
            </w:pPr>
            <w:r>
              <w:rPr>
                <w:sz w:val="16"/>
                <w:szCs w:val="16"/>
              </w:rPr>
              <w:t xml:space="preserve">Volumes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DON-05</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Volume — Activités PAP</w:t>
            </w:r>
          </w:p>
        </w:tc>
        <w:tc>
          <w:tcPr>
            <w:tcW w:w="2100" w:type="dxa"/>
            <w:noWrap/>
          </w:tcPr>
          <w:p>
            <w:pPr>
              <w:spacing w:after="0"/>
            </w:pPr>
            <w:r>
              <w:rPr>
                <w:sz w:val="16"/>
                <w:szCs w:val="16"/>
              </w:rPr>
              <w:t xml:space="preserve">Volumes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DON-06</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Volume — Habilitations (rôle ↔ permission)</w:t>
            </w:r>
          </w:p>
        </w:tc>
        <w:tc>
          <w:tcPr>
            <w:tcW w:w="2100" w:type="dxa"/>
            <w:noWrap/>
          </w:tcPr>
          <w:p>
            <w:pPr>
              <w:spacing w:after="0"/>
            </w:pPr>
            <w:r>
              <w:rPr>
                <w:sz w:val="16"/>
                <w:szCs w:val="16"/>
              </w:rPr>
              <w:t xml:space="preserve">Volumes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DON-07</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Contenu de la nomenclature budgétaire</w:t>
            </w:r>
          </w:p>
        </w:tc>
        <w:tc>
          <w:tcPr>
            <w:tcW w:w="2100" w:type="dxa"/>
            <w:noWrap/>
          </w:tcPr>
          <w:p>
            <w:pPr>
              <w:spacing w:after="0"/>
            </w:pPr>
            <w:r>
              <w:rPr>
                <w:sz w:val="16"/>
                <w:szCs w:val="16"/>
              </w:rPr>
              <w:t xml:space="preserve">Empreintes identiques.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DON-08</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Intégrité référentielle</w:t>
            </w:r>
          </w:p>
        </w:tc>
        <w:tc>
          <w:tcPr>
            <w:tcW w:w="2100" w:type="dxa"/>
            <w:noWrap/>
          </w:tcPr>
          <w:p>
            <w:pPr>
              <w:spacing w:after="0"/>
            </w:pPr>
            <w:r>
              <w:rPr>
                <w:sz w:val="16"/>
                <w:szCs w:val="16"/>
              </w:rPr>
              <w:t xml:space="preserve">0 orphelin.</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DON-09</w:t>
            </w:r>
          </w:p>
        </w:tc>
        <w:tc>
          <w:tcPr>
            <w:tcW w:w="1500" w:type="dxa"/>
            <w:noWrap/>
          </w:tcPr>
          <w:p>
            <w:pPr>
              <w:spacing w:after="0"/>
            </w:pPr>
            <w:r>
              <w:rPr>
                <w:sz w:val="18"/>
                <w:szCs w:val="18"/>
              </w:rPr>
              <w:t xml:space="preserve">Données</w:t>
            </w:r>
          </w:p>
        </w:tc>
        <w:tc>
          <w:tcPr>
            <w:tcW w:w="3300" w:type="dxa"/>
            <w:noWrap/>
          </w:tcPr>
          <w:p>
            <w:pPr>
              <w:spacing w:after="0"/>
            </w:pPr>
            <w:r>
              <w:rPr>
                <w:sz w:val="18"/>
                <w:szCs w:val="18"/>
              </w:rPr>
              <w:t xml:space="preserve">Mots de passe hachés</w:t>
            </w:r>
          </w:p>
        </w:tc>
        <w:tc>
          <w:tcPr>
            <w:tcW w:w="2100" w:type="dxa"/>
            <w:noWrap/>
          </w:tcPr>
          <w:p>
            <w:pPr>
              <w:spacing w:after="0"/>
            </w:pPr>
            <w:r>
              <w:rPr>
                <w:sz w:val="16"/>
                <w:szCs w:val="16"/>
              </w:rPr>
              <w:t xml:space="preserve">Empreinte au format $2y$, vérification positive.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CTR-01</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Statut PAP invalide refusé</w:t>
            </w:r>
          </w:p>
        </w:tc>
        <w:tc>
          <w:tcPr>
            <w:tcW w:w="2100" w:type="dxa"/>
            <w:noWrap/>
          </w:tcPr>
          <w:p>
            <w:pPr>
              <w:spacing w:after="0"/>
            </w:pPr>
            <w:r>
              <w:rPr>
                <w:sz w:val="16"/>
                <w:szCs w:val="16"/>
              </w:rPr>
              <w:t xml:space="preserve">Refus SQLSTATE 23514 (violation de contrainte CHECK).</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CTR-02</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Statut PAP « en_revision » accepté</w:t>
            </w:r>
          </w:p>
        </w:tc>
        <w:tc>
          <w:tcPr>
            <w:tcW w:w="2100" w:type="dxa"/>
            <w:noWrap/>
          </w:tcPr>
          <w:p>
            <w:pPr>
              <w:spacing w:after="0"/>
            </w:pPr>
            <w:r>
              <w:rPr>
                <w:sz w:val="16"/>
                <w:szCs w:val="16"/>
              </w:rPr>
              <w:t xml:space="preserve">Mise à jour acceptée.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CTR-03</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Sens budgétaire « financement » accepté</w:t>
            </w:r>
          </w:p>
        </w:tc>
        <w:tc>
          <w:tcPr>
            <w:tcW w:w="2100" w:type="dxa"/>
            <w:noWrap/>
          </w:tcPr>
          <w:p>
            <w:pPr>
              <w:spacing w:after="0"/>
            </w:pPr>
            <w:r>
              <w:rPr>
                <w:sz w:val="16"/>
                <w:szCs w:val="16"/>
              </w:rPr>
              <w:t xml:space="preserve">Mise à jour acceptée.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CTR-04</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Montant budgétaire négatif refusé</w:t>
            </w:r>
          </w:p>
        </w:tc>
        <w:tc>
          <w:tcPr>
            <w:tcW w:w="2100" w:type="dxa"/>
            <w:noWrap/>
          </w:tcPr>
          <w:p>
            <w:pPr>
              <w:spacing w:after="0"/>
            </w:pPr>
            <w:r>
              <w:rPr>
                <w:sz w:val="16"/>
                <w:szCs w:val="16"/>
              </w:rPr>
              <w:t xml:space="preserve">Refus SQLSTATE 23514.</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CTR-05</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Type de campagne « mensuel » autorisé</w:t>
            </w:r>
          </w:p>
        </w:tc>
        <w:tc>
          <w:tcPr>
            <w:tcW w:w="2100" w:type="dxa"/>
            <w:noWrap/>
          </w:tcPr>
          <w:p>
            <w:pPr>
              <w:spacing w:after="0"/>
            </w:pPr>
            <w:r>
              <w:rPr>
                <w:sz w:val="16"/>
                <w:szCs w:val="16"/>
              </w:rPr>
              <w:t xml:space="preserve">La valeur mensuel figure dans la liste.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CTR-06</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Type d'évaluation « impact » autorisé</w:t>
            </w:r>
          </w:p>
        </w:tc>
        <w:tc>
          <w:tcPr>
            <w:tcW w:w="2100" w:type="dxa"/>
            <w:noWrap/>
          </w:tcPr>
          <w:p>
            <w:pPr>
              <w:spacing w:after="0"/>
            </w:pPr>
            <w:r>
              <w:rPr>
                <w:sz w:val="16"/>
                <w:szCs w:val="16"/>
              </w:rPr>
              <w:t xml:space="preserve">La valeur impact figure dans la liste.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CTR-07</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Suppression d'un type d'indicateur utilisé refusée</w:t>
            </w:r>
          </w:p>
        </w:tc>
        <w:tc>
          <w:tcPr>
            <w:tcW w:w="2100" w:type="dxa"/>
            <w:noWrap/>
          </w:tcPr>
          <w:p>
            <w:pPr>
              <w:spacing w:after="0"/>
            </w:pPr>
            <w:r>
              <w:rPr>
                <w:sz w:val="16"/>
                <w:szCs w:val="16"/>
              </w:rPr>
              <w:t xml:space="preserve">Refus SQLSTATE 23001 (restrict_violation) ou 23503 (foreign_key_violation).</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CTR-08</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Rattachement à une structure inexistante refusé</w:t>
            </w:r>
          </w:p>
        </w:tc>
        <w:tc>
          <w:tcPr>
            <w:tcW w:w="2100" w:type="dxa"/>
            <w:noWrap/>
          </w:tcPr>
          <w:p>
            <w:pPr>
              <w:spacing w:after="0"/>
            </w:pPr>
            <w:r>
              <w:rPr>
                <w:sz w:val="16"/>
                <w:szCs w:val="16"/>
              </w:rPr>
              <w:t xml:space="preserve">Refus SQLSTATE 23503.</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CTR-09</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Adresse e-mail en double refusée</w:t>
            </w:r>
          </w:p>
        </w:tc>
        <w:tc>
          <w:tcPr>
            <w:tcW w:w="2100" w:type="dxa"/>
            <w:noWrap/>
          </w:tcPr>
          <w:p>
            <w:pPr>
              <w:spacing w:after="0"/>
            </w:pPr>
            <w:r>
              <w:rPr>
                <w:sz w:val="16"/>
                <w:szCs w:val="16"/>
              </w:rPr>
              <w:t xml:space="preserve">Refus SQLSTATE 23505 (violation d'unicité).</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CTR-10</w:t>
            </w:r>
          </w:p>
        </w:tc>
        <w:tc>
          <w:tcPr>
            <w:tcW w:w="1500" w:type="dxa"/>
            <w:noWrap/>
          </w:tcPr>
          <w:p>
            <w:pPr>
              <w:spacing w:after="0"/>
            </w:pPr>
            <w:r>
              <w:rPr>
                <w:sz w:val="18"/>
                <w:szCs w:val="18"/>
              </w:rPr>
              <w:t xml:space="preserve">Contraintes</w:t>
            </w:r>
          </w:p>
        </w:tc>
        <w:tc>
          <w:tcPr>
            <w:tcW w:w="3300" w:type="dxa"/>
            <w:noWrap/>
          </w:tcPr>
          <w:p>
            <w:pPr>
              <w:spacing w:after="0"/>
            </w:pPr>
            <w:r>
              <w:rPr>
                <w:sz w:val="18"/>
                <w:szCs w:val="18"/>
              </w:rPr>
              <w:t xml:space="preserve">Type d'indicateur obligatoire</w:t>
            </w:r>
          </w:p>
        </w:tc>
        <w:tc>
          <w:tcPr>
            <w:tcW w:w="2100" w:type="dxa"/>
            <w:noWrap/>
          </w:tcPr>
          <w:p>
            <w:pPr>
              <w:spacing w:after="0"/>
            </w:pPr>
            <w:r>
              <w:rPr>
                <w:sz w:val="16"/>
                <w:szCs w:val="16"/>
              </w:rPr>
              <w:t xml:space="preserve">Refus SQLSTATE 23502 (valeur NULL interdite).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CTR-11</w:t>
            </w:r>
          </w:p>
        </w:tc>
        <w:tc>
          <w:tcPr>
            <w:tcW w:w="1500" w:type="dxa"/>
            <w:noWrap/>
          </w:tcPr>
          <w:p>
            <w:pPr>
              <w:spacing w:after="0"/>
            </w:pPr>
            <w:r>
              <w:rPr>
                <w:sz w:val="18"/>
                <w:szCs w:val="18"/>
              </w:rPr>
              <w:t xml:space="preserve">Types</w:t>
            </w:r>
          </w:p>
        </w:tc>
        <w:tc>
          <w:tcPr>
            <w:tcW w:w="3300" w:type="dxa"/>
            <w:noWrap/>
          </w:tcPr>
          <w:p>
            <w:pPr>
              <w:spacing w:after="0"/>
            </w:pPr>
            <w:r>
              <w:rPr>
                <w:sz w:val="18"/>
                <w:szCs w:val="18"/>
              </w:rPr>
              <w:t xml:space="preserve">Précision des montants décimaux</w:t>
            </w:r>
          </w:p>
        </w:tc>
        <w:tc>
          <w:tcPr>
            <w:tcW w:w="2100" w:type="dxa"/>
            <w:noWrap/>
          </w:tcPr>
          <w:p>
            <w:pPr>
              <w:spacing w:after="0"/>
            </w:pPr>
            <w:r>
              <w:rPr>
                <w:sz w:val="16"/>
                <w:szCs w:val="16"/>
              </w:rPr>
              <w:t xml:space="preserve">Valeur relue strictement égale à 9876543210123.45.</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CTR-12</w:t>
            </w:r>
          </w:p>
        </w:tc>
        <w:tc>
          <w:tcPr>
            <w:tcW w:w="1500" w:type="dxa"/>
            <w:noWrap/>
          </w:tcPr>
          <w:p>
            <w:pPr>
              <w:spacing w:after="0"/>
            </w:pPr>
            <w:r>
              <w:rPr>
                <w:sz w:val="18"/>
                <w:szCs w:val="18"/>
              </w:rPr>
              <w:t xml:space="preserve">Types</w:t>
            </w:r>
          </w:p>
        </w:tc>
        <w:tc>
          <w:tcPr>
            <w:tcW w:w="3300" w:type="dxa"/>
            <w:noWrap/>
          </w:tcPr>
          <w:p>
            <w:pPr>
              <w:spacing w:after="0"/>
            </w:pPr>
            <w:r>
              <w:rPr>
                <w:sz w:val="18"/>
                <w:szCs w:val="18"/>
              </w:rPr>
              <w:t xml:space="preserve">Booléens natifs</w:t>
            </w:r>
          </w:p>
        </w:tc>
        <w:tc>
          <w:tcPr>
            <w:tcW w:w="2100" w:type="dxa"/>
            <w:noWrap/>
          </w:tcPr>
          <w:p>
            <w:pPr>
              <w:spacing w:after="0"/>
            </w:pPr>
            <w:r>
              <w:rPr>
                <w:sz w:val="16"/>
                <w:szCs w:val="16"/>
              </w:rPr>
              <w:t xml:space="preserve">Valeurs relues false puis true (type booléen).</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CTR-13</w:t>
            </w:r>
          </w:p>
        </w:tc>
        <w:tc>
          <w:tcPr>
            <w:tcW w:w="1500" w:type="dxa"/>
            <w:noWrap/>
          </w:tcPr>
          <w:p>
            <w:pPr>
              <w:spacing w:after="0"/>
            </w:pPr>
            <w:r>
              <w:rPr>
                <w:sz w:val="18"/>
                <w:szCs w:val="18"/>
              </w:rPr>
              <w:t xml:space="preserve">Types</w:t>
            </w:r>
          </w:p>
        </w:tc>
        <w:tc>
          <w:tcPr>
            <w:tcW w:w="3300" w:type="dxa"/>
            <w:noWrap/>
          </w:tcPr>
          <w:p>
            <w:pPr>
              <w:spacing w:after="0"/>
            </w:pPr>
            <w:r>
              <w:rPr>
                <w:sz w:val="18"/>
                <w:szCs w:val="18"/>
              </w:rPr>
              <w:t xml:space="preserve">Données JSON</w:t>
            </w:r>
          </w:p>
        </w:tc>
        <w:tc>
          <w:tcPr>
            <w:tcW w:w="2100" w:type="dxa"/>
            <w:noWrap/>
          </w:tcPr>
          <w:p>
            <w:pPr>
              <w:spacing w:after="0"/>
            </w:pPr>
            <w:r>
              <w:rPr>
                <w:sz w:val="16"/>
                <w:szCs w:val="16"/>
              </w:rPr>
              <w:t xml:space="preserve">Document relu identique.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CTR-14</w:t>
            </w:r>
          </w:p>
        </w:tc>
        <w:tc>
          <w:tcPr>
            <w:tcW w:w="1500" w:type="dxa"/>
            <w:noWrap/>
          </w:tcPr>
          <w:p>
            <w:pPr>
              <w:spacing w:after="0"/>
            </w:pPr>
            <w:r>
              <w:rPr>
                <w:sz w:val="18"/>
                <w:szCs w:val="18"/>
              </w:rPr>
              <w:t xml:space="preserve">Types</w:t>
            </w:r>
          </w:p>
        </w:tc>
        <w:tc>
          <w:tcPr>
            <w:tcW w:w="3300" w:type="dxa"/>
            <w:noWrap/>
          </w:tcPr>
          <w:p>
            <w:pPr>
              <w:spacing w:after="0"/>
            </w:pPr>
            <w:r>
              <w:rPr>
                <w:sz w:val="18"/>
                <w:szCs w:val="18"/>
              </w:rPr>
              <w:t xml:space="preserve">Texte accentué UTF-8</w:t>
            </w:r>
          </w:p>
        </w:tc>
        <w:tc>
          <w:tcPr>
            <w:tcW w:w="2100" w:type="dxa"/>
            <w:noWrap/>
          </w:tcPr>
          <w:p>
            <w:pPr>
              <w:spacing w:after="0"/>
            </w:pPr>
            <w:r>
              <w:rPr>
                <w:sz w:val="16"/>
                <w:szCs w:val="16"/>
              </w:rPr>
              <w:t xml:space="preserve">Libellé relu identique octet pour octet.</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CTR-15</w:t>
            </w:r>
          </w:p>
        </w:tc>
        <w:tc>
          <w:tcPr>
            <w:tcW w:w="1500" w:type="dxa"/>
            <w:noWrap/>
          </w:tcPr>
          <w:p>
            <w:pPr>
              <w:spacing w:after="0"/>
            </w:pPr>
            <w:r>
              <w:rPr>
                <w:sz w:val="18"/>
                <w:szCs w:val="18"/>
              </w:rPr>
              <w:t xml:space="preserve">Types</w:t>
            </w:r>
          </w:p>
        </w:tc>
        <w:tc>
          <w:tcPr>
            <w:tcW w:w="3300" w:type="dxa"/>
            <w:noWrap/>
          </w:tcPr>
          <w:p>
            <w:pPr>
              <w:spacing w:after="0"/>
            </w:pPr>
            <w:r>
              <w:rPr>
                <w:sz w:val="18"/>
                <w:szCs w:val="18"/>
              </w:rPr>
              <w:t xml:space="preserve">Attribution d'identifiant à l'insertion</w:t>
            </w:r>
          </w:p>
        </w:tc>
        <w:tc>
          <w:tcPr>
            <w:tcW w:w="2100" w:type="dxa"/>
            <w:noWrap/>
          </w:tcPr>
          <w:p>
            <w:pPr>
              <w:spacing w:after="0"/>
            </w:pPr>
            <w:r>
              <w:rPr>
                <w:sz w:val="16"/>
                <w:szCs w:val="16"/>
              </w:rPr>
              <w:t xml:space="preserve">Insertion acceptée, identifiant &gt; MAX(id) préalable.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AUT-01</w:t>
            </w:r>
          </w:p>
        </w:tc>
        <w:tc>
          <w:tcPr>
            <w:tcW w:w="1500" w:type="dxa"/>
            <w:noWrap/>
          </w:tcPr>
          <w:p>
            <w:pPr>
              <w:spacing w:after="0"/>
            </w:pPr>
            <w:r>
              <w:rPr>
                <w:sz w:val="18"/>
                <w:szCs w:val="18"/>
              </w:rPr>
              <w:t xml:space="preserve">Authentification</w:t>
            </w:r>
          </w:p>
        </w:tc>
        <w:tc>
          <w:tcPr>
            <w:tcW w:w="3300" w:type="dxa"/>
            <w:noWrap/>
          </w:tcPr>
          <w:p>
            <w:pPr>
              <w:spacing w:after="0"/>
            </w:pPr>
            <w:r>
              <w:rPr>
                <w:sz w:val="18"/>
                <w:szCs w:val="18"/>
              </w:rPr>
              <w:t xml:space="preserve">Connexion avec identifiants valides</w:t>
            </w:r>
          </w:p>
        </w:tc>
        <w:tc>
          <w:tcPr>
            <w:tcW w:w="2100" w:type="dxa"/>
            <w:noWrap/>
          </w:tcPr>
          <w:p>
            <w:pPr>
              <w:spacing w:after="0"/>
            </w:pPr>
            <w:r>
              <w:rPr>
                <w:sz w:val="16"/>
                <w:szCs w:val="16"/>
              </w:rPr>
              <w:t xml:space="preserve">POST → 302 vers /dashboard ; tableau de bord → 200.</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AUT-02</w:t>
            </w:r>
          </w:p>
        </w:tc>
        <w:tc>
          <w:tcPr>
            <w:tcW w:w="1500" w:type="dxa"/>
            <w:noWrap/>
          </w:tcPr>
          <w:p>
            <w:pPr>
              <w:spacing w:after="0"/>
            </w:pPr>
            <w:r>
              <w:rPr>
                <w:sz w:val="18"/>
                <w:szCs w:val="18"/>
              </w:rPr>
              <w:t xml:space="preserve">Authentification</w:t>
            </w:r>
          </w:p>
        </w:tc>
        <w:tc>
          <w:tcPr>
            <w:tcW w:w="3300" w:type="dxa"/>
            <w:noWrap/>
          </w:tcPr>
          <w:p>
            <w:pPr>
              <w:spacing w:after="0"/>
            </w:pPr>
            <w:r>
              <w:rPr>
                <w:sz w:val="18"/>
                <w:szCs w:val="18"/>
              </w:rPr>
              <w:t xml:space="preserve">Mot de passe erroné refusé et journalisé</w:t>
            </w:r>
          </w:p>
        </w:tc>
        <w:tc>
          <w:tcPr>
            <w:tcW w:w="2100" w:type="dxa"/>
            <w:noWrap/>
          </w:tcPr>
          <w:p>
            <w:pPr>
              <w:spacing w:after="0"/>
            </w:pPr>
            <w:r>
              <w:rPr>
                <w:sz w:val="16"/>
                <w:szCs w:val="16"/>
              </w:rPr>
              <w:t xml:space="preserve">Retour au formulaire avec « Identifiants invalides. », trace login_logs succes=false.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AUT-03</w:t>
            </w:r>
          </w:p>
        </w:tc>
        <w:tc>
          <w:tcPr>
            <w:tcW w:w="1500" w:type="dxa"/>
            <w:noWrap/>
          </w:tcPr>
          <w:p>
            <w:pPr>
              <w:spacing w:after="0"/>
            </w:pPr>
            <w:r>
              <w:rPr>
                <w:sz w:val="18"/>
                <w:szCs w:val="18"/>
              </w:rPr>
              <w:t xml:space="preserve">Authentification</w:t>
            </w:r>
          </w:p>
        </w:tc>
        <w:tc>
          <w:tcPr>
            <w:tcW w:w="3300" w:type="dxa"/>
            <w:noWrap/>
          </w:tcPr>
          <w:p>
            <w:pPr>
              <w:spacing w:after="0"/>
            </w:pPr>
            <w:r>
              <w:rPr>
                <w:sz w:val="18"/>
                <w:szCs w:val="18"/>
              </w:rPr>
              <w:t xml:space="preserve">Verrouillage après 5 échecs</w:t>
            </w:r>
          </w:p>
        </w:tc>
        <w:tc>
          <w:tcPr>
            <w:tcW w:w="2100" w:type="dxa"/>
            <w:noWrap/>
          </w:tcPr>
          <w:p>
            <w:pPr>
              <w:spacing w:after="0"/>
            </w:pPr>
            <w:r>
              <w:rPr>
                <w:sz w:val="16"/>
                <w:szCs w:val="16"/>
              </w:rPr>
              <w:t xml:space="preserve">IP verrouillée pour 15 minutes.</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AUT-04</w:t>
            </w:r>
          </w:p>
        </w:tc>
        <w:tc>
          <w:tcPr>
            <w:tcW w:w="1500" w:type="dxa"/>
            <w:noWrap/>
          </w:tcPr>
          <w:p>
            <w:pPr>
              <w:spacing w:after="0"/>
            </w:pPr>
            <w:r>
              <w:rPr>
                <w:sz w:val="18"/>
                <w:szCs w:val="18"/>
              </w:rPr>
              <w:t xml:space="preserve">Authentification</w:t>
            </w:r>
          </w:p>
        </w:tc>
        <w:tc>
          <w:tcPr>
            <w:tcW w:w="3300" w:type="dxa"/>
            <w:noWrap/>
          </w:tcPr>
          <w:p>
            <w:pPr>
              <w:spacing w:after="0"/>
            </w:pPr>
            <w:r>
              <w:rPr>
                <w:sz w:val="18"/>
                <w:szCs w:val="18"/>
              </w:rPr>
              <w:t xml:space="preserve">Double authentification des administrateurs</w:t>
            </w:r>
          </w:p>
        </w:tc>
        <w:tc>
          <w:tcPr>
            <w:tcW w:w="2100" w:type="dxa"/>
            <w:noWrap/>
          </w:tcPr>
          <w:p>
            <w:pPr>
              <w:spacing w:after="0"/>
            </w:pPr>
            <w:r>
              <w:rPr>
                <w:sz w:val="16"/>
                <w:szCs w:val="16"/>
              </w:rPr>
              <w:t xml:space="preserve">POST → 302 vers /mfa (aucune session ouverte avant le code).</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APP-01</w:t>
            </w:r>
          </w:p>
        </w:tc>
        <w:tc>
          <w:tcPr>
            <w:tcW w:w="1500" w:type="dxa"/>
            <w:noWrap/>
          </w:tcPr>
          <w:p>
            <w:pPr>
              <w:spacing w:after="0"/>
            </w:pPr>
            <w:r>
              <w:rPr>
                <w:sz w:val="18"/>
                <w:szCs w:val="18"/>
              </w:rPr>
              <w:t xml:space="preserve">Application</w:t>
            </w:r>
          </w:p>
        </w:tc>
        <w:tc>
          <w:tcPr>
            <w:tcW w:w="3300" w:type="dxa"/>
            <w:noWrap/>
          </w:tcPr>
          <w:p>
            <w:pPr>
              <w:spacing w:after="0"/>
            </w:pPr>
            <w:r>
              <w:rPr>
                <w:sz w:val="18"/>
                <w:szCs w:val="18"/>
              </w:rPr>
              <w:t xml:space="preserve">Tableau de bord (agrégats SQL corrigés)</w:t>
            </w:r>
          </w:p>
        </w:tc>
        <w:tc>
          <w:tcPr>
            <w:tcW w:w="2100" w:type="dxa"/>
            <w:noWrap/>
          </w:tcPr>
          <w:p>
            <w:pPr>
              <w:spacing w:after="0"/>
            </w:pPr>
            <w:r>
              <w:rPr>
                <w:sz w:val="16"/>
                <w:szCs w:val="16"/>
              </w:rPr>
              <w:t xml:space="preserve">Réponse 200.</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APP-02</w:t>
            </w:r>
          </w:p>
        </w:tc>
        <w:tc>
          <w:tcPr>
            <w:tcW w:w="1500" w:type="dxa"/>
            <w:noWrap/>
          </w:tcPr>
          <w:p>
            <w:pPr>
              <w:spacing w:after="0"/>
            </w:pPr>
            <w:r>
              <w:rPr>
                <w:sz w:val="18"/>
                <w:szCs w:val="18"/>
              </w:rPr>
              <w:t xml:space="preserve">Application</w:t>
            </w:r>
          </w:p>
        </w:tc>
        <w:tc>
          <w:tcPr>
            <w:tcW w:w="3300" w:type="dxa"/>
            <w:noWrap/>
          </w:tcPr>
          <w:p>
            <w:pPr>
              <w:spacing w:after="0"/>
            </w:pPr>
            <w:r>
              <w:rPr>
                <w:sz w:val="18"/>
                <w:szCs w:val="18"/>
              </w:rPr>
              <w:t xml:space="preserve">Commande d'audit du cadre organique</w:t>
            </w:r>
          </w:p>
        </w:tc>
        <w:tc>
          <w:tcPr>
            <w:tcW w:w="2100" w:type="dxa"/>
            <w:noWrap/>
          </w:tcPr>
          <w:p>
            <w:pPr>
              <w:spacing w:after="0"/>
            </w:pPr>
            <w:r>
              <w:rPr>
                <w:sz w:val="16"/>
                <w:szCs w:val="16"/>
              </w:rPr>
              <w:t xml:space="preserve">Fin sans erreur SQL.</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APP-03</w:t>
            </w:r>
          </w:p>
        </w:tc>
        <w:tc>
          <w:tcPr>
            <w:tcW w:w="1500" w:type="dxa"/>
            <w:noWrap/>
          </w:tcPr>
          <w:p>
            <w:pPr>
              <w:spacing w:after="0"/>
            </w:pPr>
            <w:r>
              <w:rPr>
                <w:sz w:val="18"/>
                <w:szCs w:val="18"/>
              </w:rPr>
              <w:t xml:space="preserve">Application</w:t>
            </w:r>
          </w:p>
        </w:tc>
        <w:tc>
          <w:tcPr>
            <w:tcW w:w="3300" w:type="dxa"/>
            <w:noWrap/>
          </w:tcPr>
          <w:p>
            <w:pPr>
              <w:spacing w:after="0"/>
            </w:pPr>
            <w:r>
              <w:rPr>
                <w:sz w:val="18"/>
                <w:szCs w:val="18"/>
              </w:rPr>
              <w:t xml:space="preserve">Vérification GED avec identifiant mal formé</w:t>
            </w:r>
          </w:p>
        </w:tc>
        <w:tc>
          <w:tcPr>
            <w:tcW w:w="2100" w:type="dxa"/>
            <w:noWrap/>
          </w:tcPr>
          <w:p>
            <w:pPr>
              <w:spacing w:after="0"/>
            </w:pPr>
            <w:r>
              <w:rPr>
                <w:sz w:val="16"/>
                <w:szCs w:val="16"/>
              </w:rPr>
              <w:t xml:space="preserve">Réponse 404.</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APP-04</w:t>
            </w:r>
          </w:p>
        </w:tc>
        <w:tc>
          <w:tcPr>
            <w:tcW w:w="1500" w:type="dxa"/>
            <w:noWrap/>
          </w:tcPr>
          <w:p>
            <w:pPr>
              <w:spacing w:after="0"/>
            </w:pPr>
            <w:r>
              <w:rPr>
                <w:sz w:val="18"/>
                <w:szCs w:val="18"/>
              </w:rPr>
              <w:t xml:space="preserve">Application</w:t>
            </w:r>
          </w:p>
        </w:tc>
        <w:tc>
          <w:tcPr>
            <w:tcW w:w="3300" w:type="dxa"/>
            <w:noWrap/>
          </w:tcPr>
          <w:p>
            <w:pPr>
              <w:spacing w:after="0"/>
            </w:pPr>
            <w:r>
              <w:rPr>
                <w:sz w:val="18"/>
                <w:szCs w:val="18"/>
              </w:rPr>
              <w:t xml:space="preserve">Notification avec identifiant mal formé</w:t>
            </w:r>
          </w:p>
        </w:tc>
        <w:tc>
          <w:tcPr>
            <w:tcW w:w="2100" w:type="dxa"/>
            <w:noWrap/>
          </w:tcPr>
          <w:p>
            <w:pPr>
              <w:spacing w:after="0"/>
            </w:pPr>
            <w:r>
              <w:rPr>
                <w:sz w:val="16"/>
                <w:szCs w:val="16"/>
              </w:rPr>
              <w:t xml:space="preserve">Aucune route correspondante (404).</w:t>
            </w:r>
          </w:p>
        </w:tc>
        <w:tc>
          <w:tcPr>
            <w:tcW w:w="1400" w:type="dxa"/>
            <w:shd w:val="clear" w:fill="E6F4EA"/>
            <w:noWrap/>
          </w:tcPr>
          <w:p>
            <w:pPr>
              <w:spacing w:after="0"/>
            </w:pPr>
            <w:r>
              <w:rPr>
                <w:color w:val="1E7E34"/>
                <w:sz w:val="16"/>
                <w:szCs w:val="16"/>
                <w:b w:val="1"/>
                <w:bCs w:val="1"/>
              </w:rPr>
              <w:t xml:space="preserve">CONFORME</w:t>
            </w:r>
          </w:p>
        </w:tc>
      </w:tr>
      <w:tr>
        <w:trPr>
          <w:cantSplit w:val="1"/>
        </w:trPr>
        <w:tc>
          <w:tcPr>
            <w:tcW w:w="900" w:type="dxa"/>
            <w:noWrap/>
          </w:tcPr>
          <w:p>
            <w:pPr>
              <w:spacing w:after="0"/>
            </w:pPr>
            <w:r>
              <w:rPr>
                <w:sz w:val="18"/>
                <w:szCs w:val="18"/>
                <w:b w:val="1"/>
                <w:bCs w:val="1"/>
              </w:rPr>
              <w:t xml:space="preserve">APP-05</w:t>
            </w:r>
          </w:p>
        </w:tc>
        <w:tc>
          <w:tcPr>
            <w:tcW w:w="1500" w:type="dxa"/>
            <w:noWrap/>
          </w:tcPr>
          <w:p>
            <w:pPr>
              <w:spacing w:after="0"/>
            </w:pPr>
            <w:r>
              <w:rPr>
                <w:sz w:val="18"/>
                <w:szCs w:val="18"/>
              </w:rPr>
              <w:t xml:space="preserve">Application</w:t>
            </w:r>
          </w:p>
        </w:tc>
        <w:tc>
          <w:tcPr>
            <w:tcW w:w="3300" w:type="dxa"/>
            <w:noWrap/>
          </w:tcPr>
          <w:p>
            <w:pPr>
              <w:spacing w:after="0"/>
            </w:pPr>
            <w:r>
              <w:rPr>
                <w:sz w:val="18"/>
                <w:szCs w:val="18"/>
              </w:rPr>
              <w:t xml:space="preserve">Recherche insensible à la casse</w:t>
            </w:r>
          </w:p>
        </w:tc>
        <w:tc>
          <w:tcPr>
            <w:tcW w:w="2100" w:type="dxa"/>
            <w:noWrap/>
          </w:tcPr>
          <w:p>
            <w:pPr>
              <w:spacing w:after="0"/>
            </w:pPr>
            <w:r>
              <w:rPr>
                <w:sz w:val="16"/>
                <w:szCs w:val="16"/>
              </w:rPr>
              <w:t xml:space="preserve">La structure est retrouvée.</w:t>
            </w:r>
          </w:p>
        </w:tc>
        <w:tc>
          <w:tcPr>
            <w:tcW w:w="1400" w:type="dxa"/>
            <w:shd w:val="clear" w:fill="FFF4E0"/>
            <w:noWrap/>
          </w:tcPr>
          <w:p>
            <w:pPr>
              <w:spacing w:after="0"/>
            </w:pPr>
            <w:r>
              <w:rPr>
                <w:color w:val="8A5A00"/>
                <w:sz w:val="16"/>
                <w:szCs w:val="16"/>
                <w:b w:val="1"/>
                <w:bCs w:val="1"/>
              </w:rPr>
              <w:t xml:space="preserve">RÉSERVE</w:t>
            </w:r>
          </w:p>
        </w:tc>
      </w:tr>
      <w:tr>
        <w:trPr>
          <w:cantSplit w:val="1"/>
        </w:trPr>
        <w:tc>
          <w:tcPr>
            <w:tcW w:w="900" w:type="dxa"/>
            <w:noWrap/>
          </w:tcPr>
          <w:p>
            <w:pPr>
              <w:spacing w:after="0"/>
            </w:pPr>
            <w:r>
              <w:rPr>
                <w:sz w:val="18"/>
                <w:szCs w:val="18"/>
                <w:b w:val="1"/>
                <w:bCs w:val="1"/>
              </w:rPr>
              <w:t xml:space="preserve">APP-06</w:t>
            </w:r>
          </w:p>
        </w:tc>
        <w:tc>
          <w:tcPr>
            <w:tcW w:w="1500" w:type="dxa"/>
            <w:noWrap/>
          </w:tcPr>
          <w:p>
            <w:pPr>
              <w:spacing w:after="0"/>
            </w:pPr>
            <w:r>
              <w:rPr>
                <w:sz w:val="18"/>
                <w:szCs w:val="18"/>
              </w:rPr>
              <w:t xml:space="preserve">Application</w:t>
            </w:r>
          </w:p>
        </w:tc>
        <w:tc>
          <w:tcPr>
            <w:tcW w:w="3300" w:type="dxa"/>
            <w:noWrap/>
          </w:tcPr>
          <w:p>
            <w:pPr>
              <w:spacing w:after="0"/>
            </w:pPr>
            <w:r>
              <w:rPr>
                <w:sz w:val="18"/>
                <w:szCs w:val="18"/>
              </w:rPr>
              <w:t xml:space="preserve">Parcours de toutes les pages</w:t>
            </w:r>
          </w:p>
        </w:tc>
        <w:tc>
          <w:tcPr>
            <w:tcW w:w="2100" w:type="dxa"/>
            <w:noWrap/>
          </w:tcPr>
          <w:p>
            <w:pPr>
              <w:spacing w:after="0"/>
            </w:pPr>
            <w:r>
              <w:rPr>
                <w:sz w:val="16"/>
                <w:szCs w:val="16"/>
              </w:rPr>
              <w:t xml:space="preserve">0 erreur SQL.</w:t>
            </w:r>
          </w:p>
        </w:tc>
        <w:tc>
          <w:tcPr>
            <w:tcW w:w="1400" w:type="dxa"/>
            <w:shd w:val="clear" w:fill="E6F4EA"/>
            <w:noWrap/>
          </w:tcPr>
          <w:p>
            <w:pPr>
              <w:spacing w:after="0"/>
            </w:pPr>
            <w:r>
              <w:rPr>
                <w:color w:val="1E7E34"/>
                <w:sz w:val="16"/>
                <w:szCs w:val="16"/>
                <w:b w:val="1"/>
                <w:bCs w:val="1"/>
              </w:rPr>
              <w:t xml:space="preserve">CONFORME</w:t>
            </w:r>
          </w:p>
        </w:tc>
      </w:tr>
    </w:tbl>
    <w:p>
      <w:pPr>
        <w:pStyle w:val="Heading1"/>
      </w:pPr>
      <w:bookmarkStart w:id="8" w:name="_Toc8"/>
      <w:r>
        <w:t>6. Fiches de cas</w:t>
      </w:r>
      <w:bookmarkEnd w:id="8"/>
    </w:p>
    <w:p>
      <w:pPr>
        <w:pStyle w:val="Heading2"/>
      </w:pPr>
      <w:bookmarkStart w:id="9" w:name="_Toc9"/>
      <w:r>
        <w:t>Infrastructure</w:t>
      </w:r>
      <w:bookmarkEnd w:id="9"/>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INF-01 — Version du serveur PostgreSQL</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l'application est servie par PostgreSQL 18 sur le port dédié.</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Hôte 127.0.0.1, port 5433, compte postgres.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Exécuter SELECT version() et SHOW port.</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Version 18.x, port 5433.</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PostgreSQL 18.4 on x86_64-windows — port 5433</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1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INF-02 — Connexion Laravel par défaut</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la configuration applicative pointe sur PostgreSQL.</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Fichier .env (DB_CONNECTION, DB_PORT, DB_DATABASE).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Lire config(database.default) et la base de la connexion.</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Pilote pgsql, base gest_budget_pap, port 5433.</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pilote pgsql, base gest_budget_pap, port 5433</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0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INF-03 — Extensions PHP PostgreSQL</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présence des pilotes PHP nécessaires.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PHP 8.3.10.</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Contrôler extension_loaded(pdo_pgsql) et extension_loaded(pgsql).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Les deux extensions sont chargées.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pdo_pgsql=oui, pgsql=oui</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0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INF-04 — Encodage et collation de la base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Garantir la bonne conservation des caractères accentués et le tri en français.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Base gest_budget_pap.</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Lire server_encoding et datcollate.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Encodage UTF8.</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encodage UTF8, collation French_France.1252</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2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INF-05 — Sauvegarde pg_dump</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l'outil de sauvegarde utilisé par BackupService fonctionne sur la base.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C:\Program Files\PostgreSQL\18\bin\pg_dump.exe, option --schema-only, fichier temporaire.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Lancer pg_dump --schema-only vers un fichier temporaire, contrôler la taille, supprimer le fichier.</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Code retour 0, fichier non vide contenant CREATE TABLE.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code 0, 551 Ko de schéma</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684 ms</w:t>
            </w:r>
          </w:p>
        </w:tc>
      </w:tr>
    </w:tbl>
    <w:p>
      <w:pPr>
        <w:rPr>
          <w:sz w:val="12"/>
          <w:szCs w:val="12"/>
        </w:rPr>
      </w:pPr>
    </w:p>
    <w:p>
      <w:pPr>
        <w:pStyle w:val="Heading2"/>
      </w:pPr>
      <w:bookmarkStart w:id="10" w:name="_Toc10"/>
      <w:r>
        <w:t>Schéma</w:t>
      </w:r>
      <w:bookmarkEnd w:id="10"/>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SCH-01 — Parité des tables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toutes les tables MySQL existent en PostgreSQL et réciproquement.</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Catalogues information_schema (MySQL) et pg_tables (PostgreSQL).</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les deux listes de tables.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Mêmes tables des deux côtés, aucune absente.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210 / PG 210 ; absentes PG : aucune ; absentes MySQL : aucune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0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SCH-02 — Parité des colonnes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chaque colonne MySQL existe dans la table PostgreSQL correspondante.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Catalogues information_schema.columns.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les couples table.colonne.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0 colonne manquante.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2597 colonnes MySQL, 2597 PG, manquantes : aucune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60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SCH-03 — Énumérations ↔ contraintes CHECK</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chaque ENUM MySQL a une contrainte CHECK PostgreSQL de valeurs identiques.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Colonnes de type enum (MySQL), contraintes {table}_{colonne}_check (PG).</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Extraire et comparer les listes de valeurs autorisées.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Toutes les listes sont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81 énumérations comparées, écarts : aucun</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95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SCH-04 — Clés étrangères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parité des clés étrangères (colonne, table cible, règle ON DELETE).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information_schema.referential_constraints (MySQL), pg_constraint (PG).</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les ensembles « table.colonne → cible [règle] » (RESTRICT ≡ NO ACTION).</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Mêmes clés étrangères, mêmes règles.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513 / PG 513 ; écarts : aucun</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1476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SCH-05 — Migrations Laravel</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toutes les migrations jouées sous MySQL le sont sous PostgreSQL.</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Tables migrations des deux bases.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les noms de migrations.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Aucune migration MySQL manquante ; seules des migrations correctives PG en plus.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163 / PG 164 ; manquantes : aucune ; en plus : 2026_10_24_230000_pgsql_indicateurs_fk_restrict</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SCH-06 — Séquences d'identifiants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qu'aucune séquence ne produira un identifiant déjà utilisé.</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Toutes les colonnes serial/identity du schéma public.</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Pour chaque séquence, comparer la prochaine valeur à MAX(id).</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Prochaine valeur &gt; MAX(id) pour toutes les séquences.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198 séquences contrôlées, en retard : aucune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636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SCH-07 — Index sur clés étrangères</w:t>
            </w:r>
          </w:p>
        </w:tc>
        <w:tc>
          <w:tcPr>
            <w:tcW w:w="2400" w:type="dxa"/>
            <w:shd w:val="clear" w:fill="FFF4E0"/>
            <w:noWrap/>
          </w:tcPr>
          <w:p>
            <w:pPr>
              <w:jc w:val="center"/>
              <w:spacing w:after="0"/>
            </w:pPr>
            <w:r>
              <w:rPr>
                <w:color w:val="8A5A00"/>
                <w:b w:val="1"/>
                <w:bCs w:val="1"/>
              </w:rPr>
              <w:t xml:space="preserve">RÉSERVE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les colonnes de clé étrangère sont indexées (MySQL le faisait automatiquement).</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pg_constraint (FK) et pg_index.</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Lister les FK dont la colonne n'est la première colonne d'aucun index.</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0 FK sans index.</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372 clé(s) étrangère(s) sans index</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4 ms</w:t>
            </w:r>
          </w:p>
        </w:tc>
      </w:tr>
    </w:tbl>
    <w:p>
      <w:pPr>
        <w:rPr>
          <w:sz w:val="12"/>
          <w:szCs w:val="12"/>
        </w:rPr>
      </w:pPr>
    </w:p>
    <w:p>
      <w:pPr>
        <w:pStyle w:val="Heading2"/>
      </w:pPr>
      <w:bookmarkStart w:id="11" w:name="_Toc11"/>
      <w:r>
        <w:t>Données</w:t>
      </w:r>
      <w:bookmarkEnd w:id="11"/>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DON-01 — Volume global</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le nombre total de lignes est identique dans les deux bases.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Toutes les tables communes hors migrations, cache, sessions, jobs.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Additionner COUNT(*) de chaque table des deux côtés.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Totaux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5208 lignes / PG 5208 lignes ; 0 table(s) en écart</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884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DON-02 — Volume — Utilisateurs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reprise intégrale de la table users.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 users.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COUNT(*) MySQL et PostgreSQL.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Volumes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15 / PG 15</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4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DON-03 — Volume — Structures (organigramme)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reprise intégrale de la table structures.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 structures.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COUNT(*) MySQL et PostgreSQL.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Volumes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78 / PG 78</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4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DON-04 — Volume — Lignes budgétaires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reprise intégrale de la table lignes_budgetaires.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 lignes_budgetaires.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COUNT(*) MySQL et PostgreSQL.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Volumes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56 / PG 56</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5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DON-05 — Volume — Activités PAP</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reprise intégrale de la table activites.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 activites.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COUNT(*) MySQL et PostgreSQL.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Volumes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236 / PG 236</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6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DON-06 — Volume — Habilitations (rôle ↔ permission)</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reprise intégrale de la table role_has_permissions.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 role_has_permissions.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Comparer COUNT(*) MySQL et PostgreSQL.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Volumes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947 / PG 947</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4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DON-07 — Contenu de la nomenclature budgétaire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ligne à ligne que le référentiel budgétaire est identique (pas seulement le volume).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Tables budget_titres, budget_rubriques (colonnes id, code, intitule, sens).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Calculer une empreinte SHA-256 du contenu trié par id des deux côtés.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Empreintes identiques.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MySQL 936a61272936… / PG 936a61272936…</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9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DON-08 — Intégrité référentielle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qu'aucune ligne ne référence une ligne parente inexistante (le chargement a désactivé les FK).</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Toutes les clés étrangères mono-colonne.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Pour chaque FK, compter les valeurs non nulles sans parent.</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0 orphelin.</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513 FK contrôlées, 0 orphelin(s) </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614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DON-09 — Mots de passe hachés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les empreintes bcrypt sont reprises sans altération.</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Compte directeur.plan@ceeac.test, mot de passe de démonstration « password ».</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Hash::check sur l'empreinte lue en PostgreSQL.</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Empreinte au format $2y$, vérification positive.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empreinte $2y$12$…, vérification positive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316 ms</w:t>
            </w:r>
          </w:p>
        </w:tc>
      </w:tr>
    </w:tbl>
    <w:p>
      <w:pPr>
        <w:rPr>
          <w:sz w:val="12"/>
          <w:szCs w:val="12"/>
        </w:rPr>
      </w:pPr>
    </w:p>
    <w:p>
      <w:pPr>
        <w:pStyle w:val="Heading2"/>
      </w:pPr>
      <w:bookmarkStart w:id="12" w:name="_Toc12"/>
      <w:r>
        <w:t>Contraintes</w:t>
      </w:r>
      <w:bookmarkEnd w:id="12"/>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CTR-01 — Statut PAP invalide refusé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la contrainte d'énumération bloque une valeur hors liste.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paps.statut = 'statut_inexistant' sur le premier PAP.</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Refus SQLSTATE 23514 (violation de contrainte CHECK).</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refus SQLSTATE 23514</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8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CTR-02 — Statut PAP « en_revision » accepté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l'élargissement de l'énumération apporté par la migration 2026_06_21 (correctif PG).</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paps.statut = 'en_revision'.</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Mise à jour acceptée.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1 ligne mise à jour</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CTR-03 — Sens budgétaire « financement » accepté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l'ancienne contrainte recette/dépense a bien été levée (correctif migration 2026_06_11).</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budget_titres.sens = 'financement' sur un titre de recette.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Mise à jour acceptée.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1 ligne mise à jour</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2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CTR-04 — Montant budgétaire négatif refusé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contrainte métier chk_lb_montants_positifs.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lignes_budgetaires.montant_ouvert = -1 sur la première ligne.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Refus SQLSTATE 23514.</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refus SQLSTATE 23514 (chk_lb_*)</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2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CTR-05 — Type de campagne « mensuel » autorisé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l'élargissement de campagnes_suivi.type (correctif migration 2026_07_19).</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Définition de la contrainte campagnes_suivi_type_check.</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Lire la définition de la contrainte.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La valeur mensuel figure dans la liste.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CHECK (((type)::text = ANY (ARRAY['mensuel'::text, 'trimestriel'::text, 'semestriel'::text, 'annuel'::text, 'pluriannuel'::text])))</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1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CTR-06 — Type d'évaluation « impact » autorisé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l'élargissement de evaluations_periodiques.type (correctif migration 2026_07_26).</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Définition de la contrainte evaluations_periodiques_type_check.</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Lire la définition de la contrainte.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La valeur impact figure dans la liste.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CHECK (((type)::text = ANY (ARRAY['periodique'::text, 'campagne'::text, 'annuelle'::text, 'impact'::text])))</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1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CTR-07 — Suppression d'un type d'indicateur utilisé refusée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règle ON DELETE RESTRICT rétablie par la migration corrective 2026_10_24_230000.</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DELETE du type_indicateur référencé par au moins un indicateur.</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DELETE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Refus SQLSTATE 23001 (restrict_violation) ou 23503 (foreign_key_violation).</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refus SQLSTATE 23001 (restrict_violation : règle RESTRICT active)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CTR-08 — Rattachement à une structure inexistante refusé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l'application des clés étrangères après le chargement.</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structures.parent_id = 999999 (inexistant).</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Refus SQLSTATE 23503.</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refus SQLSTATE 23503</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CTR-09 — Adresse e-mail en double refusée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l'index unique users.email.</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E-mail du second utilisateur remplacé par celui du premier.</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Refus SQLSTATE 23505 (violation d'unicité).</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refus SQLSTATE 23505</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5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CTR-10 — Type d'indicateur obligatoire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contrainte NOT NULL posée par la phase E3.</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indicateurs.type_indicateur_id = NULL.</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Refus SQLSTATE 23502 (valeur NULL interdite).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refus SQLSTATE 23502</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2 ms</w:t>
            </w:r>
          </w:p>
        </w:tc>
      </w:tr>
    </w:tbl>
    <w:p>
      <w:pPr>
        <w:rPr>
          <w:sz w:val="12"/>
          <w:szCs w:val="12"/>
        </w:rPr>
      </w:pPr>
    </w:p>
    <w:p>
      <w:pPr>
        <w:pStyle w:val="Heading2"/>
      </w:pPr>
      <w:bookmarkStart w:id="13" w:name="_Toc13"/>
      <w:r>
        <w:t>Types</w:t>
      </w:r>
      <w:bookmarkEnd w:id="13"/>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CTR-11 — Précision des montants décimaux</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qu'un montant à 16 chiffres significatifs est restitué au centime près.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lignes_budgetaires.montant_engage = 9 876 543 210 123,45 (decimal 18,2).</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puis relecture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Valeur relue strictement égale à 9876543210123.45.</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relu : 9876543210123.45</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CTR-12 — Booléens natifs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les anciens TINYINT(1) MySQL sont des booléens PostgreSQL exploitables par Eloquent.</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users.actif = false puis true.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Mise à jour et relecture typée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Valeurs relues false puis true (type booléen).</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relu : false puis true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7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CTR-13 — Données JSON</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l'aller-retour d'un document JSON contenant des caractères accentués.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users.preferences_notifications = {"email":true,"sms":false,"canal":"tél. à confirmer"}.</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puis relecture et décodage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Document relu identique.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relu : {"email":true,"sms":false,"canal":"tél. à confirmer"}</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CTR-14 — Texte accentué UTF-8</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conservation des caractères spéciaux du français.</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structures.libelle = « Délégation à l'Économie — Çà et là ».</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UPDATE puis relecture dans un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Libellé relu identique octet pour octet.</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relu : Délégation à l'Économie — Çà et là</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4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CTR-15 — Attribution d'identifiant à l'insertion</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qu'une nouvelle ligne reçoit un identifiant libre (séquence recalée).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Nouveau type d'indicateur code JE-TEST, libellé « Type de test ».</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INSERT dans un point de sauvegarde annulé, comparaison à MAX(id) préalable.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Insertion acceptée, identifiant &gt; MAX(id) préalable.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MAX préalable 4, nouvel id 5</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p>
      <w:pPr>
        <w:pStyle w:val="Heading2"/>
      </w:pPr>
      <w:bookmarkStart w:id="14" w:name="_Toc14"/>
      <w:r>
        <w:t>Authentification</w:t>
      </w:r>
      <w:bookmarkEnd w:id="14"/>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AUT-01 — Connexion avec identifiants valides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le parcours de connexion réel sur PostgreSQL (sessions en base).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directeur.plan@ceeac.test / password, http://budget-pap-suivi-ceeac.test.</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GET /login (jeton CSRF), POST /login, GET /dashboard.</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POST → 302 vers /dashboard ; tableau de bord → 200.</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POST 302 → http://budget-pap-suivi-ceeac.test/dashboard ; dashboard 200</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5222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AUT-02 — Mot de passe erroné refusé et journalisé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le refus et la traçabilité d'un échec de connexion.</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directeur.plan@ceeac.test / « mauvais-mot-de-passe ».</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POST /login ; contrôle de login_logs ; nettoyage de la trace de test et du compteur d'échecs.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Retour au formulaire avec « Identifiants invalides. », trace login_logs succes=false.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POST 302, message affiché, trace « Identifiants invalides »</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4255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AUT-03 — Verrouillage après 5 échecs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protection anti brute-force (seuil 5 échecs / 15 min).</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IP de documentation 203.0.113.10, 5 échecs simulés dans login_logs.</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Insérer 5 échecs, appeler enregistrerEchec puis ipBloquee (point de sauvegarde annulé).</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IP verrouillée pour 15 minutes.</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verrouillée jusqu'à 2026-10-24 20:53:36 ; après réinitialisation : débloquée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19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AUT-04 — Double authentification des administrateurs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que le compte administrateur avec MFA active est dirigé vers le défi MFA.</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dsi.ceeac.eccas@gmail.com / password (MFA confirmée).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GET /login, POST /login.</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POST → 302 vers /mfa (aucune session ouverte avant le code).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POST 302 → http://budget-pap-suivi-ceeac.test/mfa/challenge</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2738 ms</w:t>
            </w:r>
          </w:p>
        </w:tc>
      </w:tr>
    </w:tbl>
    <w:p>
      <w:pPr>
        <w:rPr>
          <w:sz w:val="12"/>
          <w:szCs w:val="12"/>
        </w:rPr>
      </w:pPr>
    </w:p>
    <w:p>
      <w:pPr>
        <w:pStyle w:val="Heading2"/>
      </w:pPr>
      <w:bookmarkStart w:id="15" w:name="_Toc15"/>
      <w:r>
        <w:t>Application</w:t>
      </w:r>
      <w:bookmarkEnd w:id="15"/>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APP-01 — Tableau de bord (agrégats SQL corrigés)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les requêtes de TableauBordService, dont le libellé « (non rattachée) » corrigé.</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Compte dsi.ceeac.eccas@gmail.com (MFA neutralisée pour le processus de test).</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GET /dashboard en interne.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Réponse 200.</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HTTP 200</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307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APP-02 — Commande d'audit du cadre organique</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requête corrigée (HAVING sans alias, booléens sans COALESCE entier).</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php artisan institution:audit-cadre (lecture seule, sans --fix).</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Exécuter la commande.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Fin sans erreur SQL.</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terminée, code 0</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783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APP-03 — Vérification GED avec identifiant mal formé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qu'un UUID invalide renvoie « non trouvé » et non une erreur serveur (colonne uuid native).</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URL publique /verifier/ged/1.</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GET interne.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Réponse 404.</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HTTP 404</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APP-04 — Notification avec identifiant mal formé</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la contrainte de route whereUuid sur les actions de notification.</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POST /notifications/abc/lue.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Résoudre la route.</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Aucune route correspondante (404).</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aucune route : 404</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APP-05 — Recherche insensible à la casse</w:t>
            </w:r>
          </w:p>
        </w:tc>
        <w:tc>
          <w:tcPr>
            <w:tcW w:w="2400" w:type="dxa"/>
            <w:shd w:val="clear" w:fill="FFF4E0"/>
            <w:noWrap/>
          </w:tcPr>
          <w:p>
            <w:pPr>
              <w:jc w:val="center"/>
              <w:spacing w:after="0"/>
            </w:pPr>
            <w:r>
              <w:rPr>
                <w:color w:val="8A5A00"/>
                <w:b w:val="1"/>
                <w:bCs w:val="1"/>
              </w:rPr>
              <w:t xml:space="preserve">RÉSERVE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Vérifier qu'une recherche en minuscules retrouve un libellé en majuscules (comportement MySQL).</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Recherche du premier libellé de structure, saisi en minuscules, opérateur LIKE.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Structure::where(libelle, like, %minuscules%).</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La structure est retrouvée.</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 presidence d » → 0 résultat(s) (libellé réel : « Presidence d »)</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3 ms</w:t>
            </w:r>
          </w:p>
        </w:tc>
      </w:tr>
    </w:tbl>
    <w:p>
      <w:pPr>
        <w:rPr>
          <w:sz w:val="12"/>
          <w:szCs w:val="12"/>
        </w:rPr>
      </w:pPr>
    </w:p>
    <w:tbl>
      <w:tblGrid>
        <w:gridCol w:w="6600" w:type="dxa"/>
        <w:gridCol w:w="2400" w:type="dxa"/>
      </w:tblGrid>
      <w:tblPr>
        <w:tblStyle w:val="grille"/>
      </w:tblPr>
      <w:tr>
        <w:trPr>
          <w:cantSplit w:val="1"/>
        </w:trPr>
        <w:tc>
          <w:tcPr>
            <w:tcW w:w="6600" w:type="dxa"/>
            <w:shd w:val="clear" w:fill="0A4A8F"/>
            <w:gridSpan w:val="1"/>
            <w:noWrap/>
          </w:tcPr>
          <w:p>
            <w:pPr>
              <w:spacing w:after="0"/>
            </w:pPr>
            <w:r>
              <w:rPr>
                <w:color w:val="FFFFFF"/>
                <w:sz w:val="18"/>
                <w:szCs w:val="18"/>
                <w:b w:val="1"/>
                <w:bCs w:val="1"/>
              </w:rPr>
              <w:t xml:space="preserve">APP-06 — Parcours de toutes les pages</w:t>
            </w:r>
          </w:p>
        </w:tc>
        <w:tc>
          <w:tcPr>
            <w:tcW w:w="2400" w:type="dxa"/>
            <w:shd w:val="clear" w:fill="E6F4EA"/>
            <w:noWrap/>
          </w:tcPr>
          <w:p>
            <w:pPr>
              <w:jc w:val="center"/>
              <w:spacing w:after="0"/>
            </w:pPr>
            <w:r>
              <w:rPr>
                <w:color w:val="1E7E34"/>
                <w:b w:val="1"/>
                <w:bCs w:val="1"/>
              </w:rPr>
              <w:t xml:space="preserve">CONFORME</w:t>
            </w:r>
          </w:p>
        </w:tc>
      </w:tr>
      <w:tr>
        <w:trPr>
          <w:cantSplit w:val="1"/>
        </w:trPr>
        <w:tc>
          <w:tcPr>
            <w:tcW w:w="2200" w:type="dxa"/>
            <w:shd w:val="clear" w:fill="EEF3FA"/>
            <w:noWrap/>
          </w:tcPr>
          <w:p>
            <w:pPr>
              <w:spacing w:after="0"/>
            </w:pPr>
            <w:r>
              <w:rPr>
                <w:sz w:val="18"/>
                <w:szCs w:val="18"/>
                <w:b w:val="1"/>
                <w:bCs w:val="1"/>
              </w:rPr>
              <w:t xml:space="preserve">Objectif</w:t>
            </w:r>
          </w:p>
        </w:tc>
        <w:tc>
          <w:tcPr>
            <w:tcW w:w="6800" w:type="dxa"/>
            <w:gridSpan w:val="1"/>
            <w:noWrap/>
          </w:tcPr>
          <w:p>
            <w:pPr>
              <w:spacing w:after="0"/>
            </w:pPr>
            <w:r>
              <w:rPr>
                <w:sz w:val="18"/>
                <w:szCs w:val="18"/>
              </w:rPr>
              <w:t xml:space="preserve">Détecter toute erreur SQL résiduelle sur l'ensemble des écrans de consultation.</w:t>
            </w:r>
          </w:p>
        </w:tc>
      </w:tr>
      <w:tr>
        <w:trPr>
          <w:cantSplit w:val="1"/>
        </w:trPr>
        <w:tc>
          <w:tcPr>
            <w:tcW w:w="2200" w:type="dxa"/>
            <w:shd w:val="clear" w:fill="EEF3FA"/>
            <w:noWrap/>
          </w:tcPr>
          <w:p>
            <w:pPr>
              <w:spacing w:after="0"/>
            </w:pPr>
            <w:r>
              <w:rPr>
                <w:sz w:val="18"/>
                <w:szCs w:val="18"/>
                <w:b w:val="1"/>
                <w:bCs w:val="1"/>
              </w:rPr>
              <w:t xml:space="preserve">Données d'entrée</w:t>
            </w:r>
          </w:p>
        </w:tc>
        <w:tc>
          <w:tcPr>
            <w:tcW w:w="6800" w:type="dxa"/>
            <w:gridSpan w:val="1"/>
            <w:noWrap/>
          </w:tcPr>
          <w:p>
            <w:pPr>
              <w:spacing w:after="0"/>
            </w:pPr>
            <w:r>
              <w:rPr>
                <w:sz w:val="18"/>
                <w:szCs w:val="18"/>
              </w:rPr>
              <w:t xml:space="preserve">Toutes les routes GET (paramètres = 1), compte dsi.ceeac.eccas@gmail.com, MFA neutralisée pour le processus de test, transaction annulée.</w:t>
            </w:r>
          </w:p>
        </w:tc>
      </w:tr>
      <w:tr>
        <w:trPr>
          <w:cantSplit w:val="1"/>
        </w:trPr>
        <w:tc>
          <w:tcPr>
            <w:tcW w:w="2200" w:type="dxa"/>
            <w:shd w:val="clear" w:fill="EEF3FA"/>
            <w:noWrap/>
          </w:tcPr>
          <w:p>
            <w:pPr>
              <w:spacing w:after="0"/>
            </w:pPr>
            <w:r>
              <w:rPr>
                <w:sz w:val="18"/>
                <w:szCs w:val="18"/>
                <w:b w:val="1"/>
                <w:bCs w:val="1"/>
              </w:rPr>
              <w:t xml:space="preserve">Étapes</w:t>
            </w:r>
          </w:p>
        </w:tc>
        <w:tc>
          <w:tcPr>
            <w:tcW w:w="6800" w:type="dxa"/>
            <w:gridSpan w:val="1"/>
            <w:noWrap/>
          </w:tcPr>
          <w:p>
            <w:pPr>
              <w:spacing w:after="0"/>
            </w:pPr>
            <w:r>
              <w:rPr>
                <w:sz w:val="18"/>
                <w:szCs w:val="18"/>
              </w:rPr>
              <w:t xml:space="preserve">Appeler chaque route en interne et relever les réponses ≥ 500.</w:t>
            </w:r>
          </w:p>
        </w:tc>
      </w:tr>
      <w:tr>
        <w:trPr>
          <w:cantSplit w:val="1"/>
        </w:trPr>
        <w:tc>
          <w:tcPr>
            <w:tcW w:w="2200" w:type="dxa"/>
            <w:shd w:val="clear" w:fill="EEF3FA"/>
            <w:noWrap/>
          </w:tcPr>
          <w:p>
            <w:pPr>
              <w:spacing w:after="0"/>
            </w:pPr>
            <w:r>
              <w:rPr>
                <w:sz w:val="18"/>
                <w:szCs w:val="18"/>
                <w:b w:val="1"/>
                <w:bCs w:val="1"/>
              </w:rPr>
              <w:t xml:space="preserve">Résultat attendu</w:t>
            </w:r>
          </w:p>
        </w:tc>
        <w:tc>
          <w:tcPr>
            <w:tcW w:w="6800" w:type="dxa"/>
            <w:gridSpan w:val="1"/>
            <w:noWrap/>
          </w:tcPr>
          <w:p>
            <w:pPr>
              <w:spacing w:after="0"/>
            </w:pPr>
            <w:r>
              <w:rPr>
                <w:sz w:val="18"/>
                <w:szCs w:val="18"/>
              </w:rPr>
              <w:t xml:space="preserve">0 erreur SQL.</w:t>
            </w:r>
          </w:p>
        </w:tc>
      </w:tr>
      <w:tr>
        <w:trPr>
          <w:cantSplit w:val="1"/>
        </w:trPr>
        <w:tc>
          <w:tcPr>
            <w:tcW w:w="2200" w:type="dxa"/>
            <w:shd w:val="clear" w:fill="EEF3FA"/>
            <w:noWrap/>
          </w:tcPr>
          <w:p>
            <w:pPr>
              <w:spacing w:after="0"/>
            </w:pPr>
            <w:r>
              <w:rPr>
                <w:sz w:val="18"/>
                <w:szCs w:val="18"/>
                <w:b w:val="1"/>
                <w:bCs w:val="1"/>
              </w:rPr>
              <w:t xml:space="preserve">Résultat obtenu</w:t>
            </w:r>
          </w:p>
        </w:tc>
        <w:tc>
          <w:tcPr>
            <w:tcW w:w="6800" w:type="dxa"/>
            <w:gridSpan w:val="1"/>
            <w:noWrap/>
          </w:tcPr>
          <w:p>
            <w:pPr>
              <w:spacing w:after="0"/>
            </w:pPr>
            <w:r>
              <w:rPr>
                <w:sz w:val="18"/>
                <w:szCs w:val="18"/>
              </w:rPr>
              <w:t xml:space="preserve">422 routes ; 298×200, 9×302, 113×404 ; erreurs SQL : 0 ; autres exceptions (paramètres de test) : 2</w:t>
            </w:r>
          </w:p>
        </w:tc>
      </w:tr>
      <w:tr>
        <w:trPr>
          <w:cantSplit w:val="1"/>
        </w:trPr>
        <w:tc>
          <w:tcPr>
            <w:tcW w:w="2200" w:type="dxa"/>
            <w:shd w:val="clear" w:fill="EEF3FA"/>
            <w:noWrap/>
          </w:tcPr>
          <w:p>
            <w:pPr>
              <w:spacing w:after="0"/>
            </w:pPr>
            <w:r>
              <w:rPr>
                <w:sz w:val="18"/>
                <w:szCs w:val="18"/>
                <w:b w:val="1"/>
                <w:bCs w:val="1"/>
              </w:rPr>
              <w:t xml:space="preserve">Durée</w:t>
            </w:r>
          </w:p>
        </w:tc>
        <w:tc>
          <w:tcPr>
            <w:tcW w:w="6800" w:type="dxa"/>
            <w:gridSpan w:val="1"/>
            <w:noWrap/>
          </w:tcPr>
          <w:p>
            <w:pPr>
              <w:spacing w:after="0"/>
            </w:pPr>
            <w:r>
              <w:rPr>
                <w:sz w:val="18"/>
                <w:szCs w:val="18"/>
              </w:rPr>
              <w:t xml:space="preserve">79477 ms</w:t>
            </w:r>
          </w:p>
        </w:tc>
      </w:tr>
    </w:tbl>
    <w:p>
      <w:pPr>
        <w:rPr>
          <w:sz w:val="12"/>
          <w:szCs w:val="12"/>
        </w:rPr>
      </w:pPr>
    </w:p>
    <w:p>
      <w:pPr>
        <w:pStyle w:val="Heading1"/>
      </w:pPr>
      <w:bookmarkStart w:id="16" w:name="_Toc16"/>
      <w:r>
        <w:t>7. Anomalies et réserves</w:t>
      </w:r>
      <w:bookmarkEnd w:id="16"/>
    </w:p>
    <w:tbl>
      <w:tblGrid>
        <w:gridCol w:w="900" w:type="dxa"/>
        <w:gridCol w:w="1400" w:type="dxa"/>
        <w:gridCol w:w="3000" w:type="dxa"/>
        <w:gridCol w:w="3700" w:type="dxa"/>
      </w:tblGrid>
      <w:tblPr>
        <w:tblStyle w:val="grille"/>
      </w:tblPr>
      <w:tr>
        <w:trPr>
          <w:tblHeader w:val="1"/>
        </w:trPr>
        <w:tc>
          <w:tcPr>
            <w:tcW w:w="900" w:type="dxa"/>
            <w:shd w:val="clear" w:fill="0A4A8F"/>
            <w:noWrap/>
          </w:tcPr>
          <w:p>
            <w:pPr>
              <w:spacing w:after="0"/>
            </w:pPr>
            <w:r>
              <w:rPr>
                <w:color w:val="FFFFFF"/>
                <w:sz w:val="18"/>
                <w:szCs w:val="18"/>
                <w:b w:val="1"/>
                <w:bCs w:val="1"/>
              </w:rPr>
              <w:t xml:space="preserve">N°</w:t>
            </w:r>
          </w:p>
        </w:tc>
        <w:tc>
          <w:tcPr>
            <w:tcW w:w="1400" w:type="dxa"/>
            <w:shd w:val="clear" w:fill="0A4A8F"/>
            <w:noWrap/>
          </w:tcPr>
          <w:p>
            <w:pPr>
              <w:spacing w:after="0"/>
            </w:pPr>
            <w:r>
              <w:rPr>
                <w:color w:val="FFFFFF"/>
                <w:sz w:val="18"/>
                <w:szCs w:val="18"/>
                <w:b w:val="1"/>
                <w:bCs w:val="1"/>
              </w:rPr>
              <w:t xml:space="preserve">Statut</w:t>
            </w:r>
          </w:p>
        </w:tc>
        <w:tc>
          <w:tcPr>
            <w:tcW w:w="3000" w:type="dxa"/>
            <w:shd w:val="clear" w:fill="0A4A8F"/>
            <w:noWrap/>
          </w:tcPr>
          <w:p>
            <w:pPr>
              <w:spacing w:after="0"/>
            </w:pPr>
            <w:r>
              <w:rPr>
                <w:color w:val="FFFFFF"/>
                <w:sz w:val="18"/>
                <w:szCs w:val="18"/>
                <w:b w:val="1"/>
                <w:bCs w:val="1"/>
              </w:rPr>
              <w:t xml:space="preserve">Constat</w:t>
            </w:r>
          </w:p>
        </w:tc>
        <w:tc>
          <w:tcPr>
            <w:tcW w:w="3700" w:type="dxa"/>
            <w:shd w:val="clear" w:fill="0A4A8F"/>
            <w:noWrap/>
          </w:tcPr>
          <w:p>
            <w:pPr>
              <w:spacing w:after="0"/>
            </w:pPr>
            <w:r>
              <w:rPr>
                <w:color w:val="FFFFFF"/>
                <w:sz w:val="18"/>
                <w:szCs w:val="18"/>
                <w:b w:val="1"/>
                <w:bCs w:val="1"/>
              </w:rPr>
              <w:t xml:space="preserve">Analyse et action</w:t>
            </w:r>
          </w:p>
        </w:tc>
      </w:tr>
      <w:tr>
        <w:trPr>
          <w:cantSplit w:val="1"/>
        </w:trPr>
        <w:tc>
          <w:tcPr>
            <w:tcW w:w="900" w:type="dxa"/>
            <w:noWrap/>
          </w:tcPr>
          <w:p>
            <w:pPr>
              <w:spacing w:after="0"/>
            </w:pPr>
            <w:r>
              <w:rPr>
                <w:sz w:val="18"/>
                <w:szCs w:val="18"/>
                <w:b w:val="1"/>
                <w:bCs w:val="1"/>
              </w:rPr>
              <w:t xml:space="preserve">SCH-07</w:t>
            </w:r>
          </w:p>
        </w:tc>
        <w:tc>
          <w:tcPr>
            <w:tcW w:w="1400" w:type="dxa"/>
            <w:shd w:val="clear" w:fill="FFF4E0"/>
            <w:noWrap/>
          </w:tcPr>
          <w:p>
            <w:pPr>
              <w:spacing w:after="0"/>
            </w:pPr>
            <w:r>
              <w:rPr>
                <w:color w:val="8A5A00"/>
                <w:sz w:val="16"/>
                <w:szCs w:val="16"/>
                <w:b w:val="1"/>
                <w:bCs w:val="1"/>
              </w:rPr>
              <w:t xml:space="preserve">RÉSERVE</w:t>
            </w:r>
          </w:p>
        </w:tc>
        <w:tc>
          <w:tcPr>
            <w:tcW w:w="3000" w:type="dxa"/>
            <w:noWrap/>
          </w:tcPr>
          <w:p>
            <w:pPr>
              <w:spacing w:after="0"/>
            </w:pPr>
            <w:r>
              <w:rPr>
                <w:sz w:val="16"/>
                <w:szCs w:val="16"/>
              </w:rPr>
              <w:t xml:space="preserve">372 clé(s) étrangère(s) sans index</w:t>
            </w:r>
          </w:p>
        </w:tc>
        <w:tc>
          <w:tcPr>
            <w:tcW w:w="3700" w:type="dxa"/>
            <w:noWrap/>
          </w:tcPr>
          <w:p>
            <w:pPr>
              <w:spacing w:after="0"/>
            </w:pPr>
            <w:r>
              <w:rPr>
                <w:sz w:val="16"/>
                <w:szCs w:val="16"/>
              </w:rPr>
              <w:t xml:space="preserve">PostgreSQL ne crée pas d'index automatique sur les clés étrangères, contrairement à MySQL. Action : migration PostgreSQL de création des index manquants. Impact actuel faible (base de 30 Mo), croissant avec le volume.</w:t>
            </w:r>
          </w:p>
        </w:tc>
      </w:tr>
      <w:tr>
        <w:trPr>
          <w:cantSplit w:val="1"/>
        </w:trPr>
        <w:tc>
          <w:tcPr>
            <w:tcW w:w="900" w:type="dxa"/>
            <w:noWrap/>
          </w:tcPr>
          <w:p>
            <w:pPr>
              <w:spacing w:after="0"/>
            </w:pPr>
            <w:r>
              <w:rPr>
                <w:sz w:val="18"/>
                <w:szCs w:val="18"/>
                <w:b w:val="1"/>
                <w:bCs w:val="1"/>
              </w:rPr>
              <w:t xml:space="preserve">APP-05</w:t>
            </w:r>
          </w:p>
        </w:tc>
        <w:tc>
          <w:tcPr>
            <w:tcW w:w="1400" w:type="dxa"/>
            <w:shd w:val="clear" w:fill="FFF4E0"/>
            <w:noWrap/>
          </w:tcPr>
          <w:p>
            <w:pPr>
              <w:spacing w:after="0"/>
            </w:pPr>
            <w:r>
              <w:rPr>
                <w:color w:val="8A5A00"/>
                <w:sz w:val="16"/>
                <w:szCs w:val="16"/>
                <w:b w:val="1"/>
                <w:bCs w:val="1"/>
              </w:rPr>
              <w:t xml:space="preserve">RÉSERVE</w:t>
            </w:r>
          </w:p>
        </w:tc>
        <w:tc>
          <w:tcPr>
            <w:tcW w:w="3000" w:type="dxa"/>
            <w:noWrap/>
          </w:tcPr>
          <w:p>
            <w:pPr>
              <w:spacing w:after="0"/>
            </w:pPr>
            <w:r>
              <w:rPr>
                <w:sz w:val="16"/>
                <w:szCs w:val="16"/>
              </w:rPr>
              <w:t xml:space="preserve">« presidence d » → 0 résultat(s) (libellé réel : « Presidence d »)</w:t>
            </w:r>
          </w:p>
        </w:tc>
        <w:tc>
          <w:tcPr>
            <w:tcW w:w="3700" w:type="dxa"/>
            <w:noWrap/>
          </w:tcPr>
          <w:p>
            <w:pPr>
              <w:spacing w:after="0"/>
            </w:pPr>
            <w:r>
              <w:rPr>
                <w:sz w:val="16"/>
                <w:szCs w:val="16"/>
              </w:rPr>
              <w:t xml:space="preserve">LIKE respecte la casse sous PostgreSQL (MySQL utilisait une collation insensible à la casse) : 65 occurrences dans 39 fichiers. Action : passer les filtres de recherche à whereLike(..., caseSensitive: false).</w:t>
            </w:r>
          </w:p>
        </w:tc>
      </w:tr>
    </w:tbl>
    <w:p>
      <w:pPr>
        <w:pStyle w:val="Heading1"/>
      </w:pPr>
      <w:bookmarkStart w:id="17" w:name="_Toc17"/>
      <w:r>
        <w:t>8. Conclusion et visa</w:t>
      </w:r>
      <w:bookmarkEnd w:id="17"/>
    </w:p>
    <w:p>
      <w:pPr>
        <w:jc w:val="both"/>
      </w:pPr>
      <w:r>
        <w:rPr/>
        <w:t xml:space="preserve">Aucun cas n'est non conforme : la structure de la base, la reprise intégrale des données, les contraintes d'intégrité, les types, l'authentification et le comportement applicatif sont validés sur PostgreSQL 18. La migration peut être prononcée, sous les 2 réserve(s) non bloquante(s) de la section 7, dont le traitement est recommandé avant la montée en charge.</w:t>
      </w:r>
    </w:p>
    <w:p/>
    <w:tbl>
      <w:tblGrid>
        <w:gridCol w:w="3000" w:type="dxa"/>
        <w:gridCol w:w="3000" w:type="dxa"/>
        <w:gridCol w:w="3000" w:type="dxa"/>
      </w:tblGrid>
      <w:tblPr>
        <w:tblStyle w:val="grille"/>
      </w:tblPr>
      <w:tr>
        <w:trPr/>
        <w:tc>
          <w:tcPr>
            <w:tcW w:w="3000" w:type="dxa"/>
            <w:shd w:val="clear" w:fill="0A4A8F"/>
            <w:noWrap/>
          </w:tcPr>
          <w:p>
            <w:pPr>
              <w:jc w:val="center"/>
              <w:spacing w:after="0"/>
            </w:pPr>
            <w:r>
              <w:rPr>
                <w:color w:val="FFFFFF"/>
                <w:sz w:val="18"/>
                <w:szCs w:val="18"/>
                <w:b w:val="1"/>
                <w:bCs w:val="1"/>
              </w:rPr>
              <w:t xml:space="preserve">Rédigé par</w:t>
            </w:r>
          </w:p>
        </w:tc>
        <w:tc>
          <w:tcPr>
            <w:tcW w:w="3000" w:type="dxa"/>
            <w:shd w:val="clear" w:fill="0A4A8F"/>
            <w:noWrap/>
          </w:tcPr>
          <w:p>
            <w:pPr>
              <w:jc w:val="center"/>
              <w:spacing w:after="0"/>
            </w:pPr>
            <w:r>
              <w:rPr>
                <w:color w:val="FFFFFF"/>
                <w:sz w:val="18"/>
                <w:szCs w:val="18"/>
                <w:b w:val="1"/>
                <w:bCs w:val="1"/>
              </w:rPr>
              <w:t xml:space="preserve">Vérifié par</w:t>
            </w:r>
          </w:p>
        </w:tc>
        <w:tc>
          <w:tcPr>
            <w:tcW w:w="3000" w:type="dxa"/>
            <w:shd w:val="clear" w:fill="0A4A8F"/>
            <w:noWrap/>
          </w:tcPr>
          <w:p>
            <w:pPr>
              <w:jc w:val="center"/>
              <w:spacing w:after="0"/>
            </w:pPr>
            <w:r>
              <w:rPr>
                <w:color w:val="FFFFFF"/>
                <w:sz w:val="18"/>
                <w:szCs w:val="18"/>
                <w:b w:val="1"/>
                <w:bCs w:val="1"/>
              </w:rPr>
              <w:t xml:space="preserve">Approuvé par</w:t>
            </w:r>
          </w:p>
        </w:tc>
      </w:tr>
      <w:tr>
        <w:trPr>
          <w:trHeight w:val="1400" w:hRule="atLeast"/>
        </w:trPr>
        <w:tc>
          <w:tcPr>
            <w:tcW w:w="3000" w:type="dxa"/>
            <w:noWrap/>
          </w:tcPr>
          <w:p>
            <w:pPr/>
            <w:r>
              <w:rPr>
                <w:color w:val="777777"/>
                <w:sz w:val="18"/>
                <w:szCs w:val="18"/>
              </w:rPr>
              <w:t xml:space="preserve">Nom :
Date :
Signature :</w:t>
            </w:r>
          </w:p>
        </w:tc>
        <w:tc>
          <w:tcPr>
            <w:tcW w:w="3000" w:type="dxa"/>
            <w:noWrap/>
          </w:tcPr>
          <w:p>
            <w:pPr/>
            <w:r>
              <w:rPr>
                <w:color w:val="777777"/>
                <w:sz w:val="18"/>
                <w:szCs w:val="18"/>
              </w:rPr>
              <w:t xml:space="preserve">Nom :
Date :
Signature :</w:t>
            </w:r>
          </w:p>
        </w:tc>
        <w:tc>
          <w:tcPr>
            <w:tcW w:w="3000" w:type="dxa"/>
            <w:noWrap/>
          </w:tcPr>
          <w:p>
            <w:pPr/>
            <w:r>
              <w:rPr>
                <w:color w:val="777777"/>
                <w:sz w:val="18"/>
                <w:szCs w:val="18"/>
              </w:rPr>
              <w:t xml:space="preserve">Nom :
Date :
Signature :</w:t>
            </w:r>
          </w:p>
        </w:tc>
      </w:tr>
    </w:tbl>
    <w:sectPr>
      <w:footerReference w:type="default" r:id="rId8"/>
      <w:pgSz w:orient="portrait" w:w="11905.511811023622" w:h="16837.79527559055"/>
      <w:pgMar w:top="1133.8582677165352" w:right="1133.8582677165352" w:bottom="1020.4724409448818" w:left="1133.8582677165352"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777777"/>
        <w:sz w:val="16"/>
        <w:szCs w:val="16"/>
      </w:rPr>
      <w:t xml:space="preserve">Jeu d'essai — Migration PostgreSQL 18 · GEST-BUDGET-PAP · Page </w:t>
    </w:r>
    <w:r>
      <w:fldChar w:fldCharType="begin"/>
    </w:r>
    <w:r>
      <w:rPr>
        <w:color w:val="777777"/>
        <w:sz w:val="16"/>
        <w:szCs w:val="16"/>
      </w:rPr>
      <w:instrText xml:space="preserve">PAGE</w:instrText>
    </w:r>
    <w:r>
      <w:fldChar w:fldCharType="separate"/>
    </w:r>
    <w:r>
      <w:fldChar w:fldCharType="end"/>
    </w:r>
    <w:r>
      <w:rPr>
        <w:color w:val="777777"/>
        <w:sz w:val="16"/>
        <w:szCs w:val="16"/>
      </w:rPr>
      <w:t xml:space="preserve"> / </w:t>
    </w:r>
    <w:r>
      <w:fldChar w:fldCharType="begin"/>
    </w:r>
    <w:r>
      <w:rPr>
        <w:color w:val="777777"/>
        <w:sz w:val="16"/>
        <w:szCs w:val="16"/>
      </w:rPr>
      <w:instrText xml:space="preserve">NUMPAGES</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0A4A8F"/>
      <w:sz w:val="30"/>
      <w:szCs w:val="30"/>
      <w:b w:val="1"/>
      <w:bCs w:val="1"/>
    </w:rPr>
  </w:style>
  <w:style w:type="paragraph" w:styleId="Heading2">
    <w:link w:val="Heading2Char"/>
    <w:name w:val="heading 2"/>
    <w:basedOn w:val="Normal"/>
    <w:pPr>
      <w:keepNext w:val="1"/>
      <w:spacing w:before="200" w:after="80"/>
    </w:pPr>
    <w:rPr>
      <w:color w:val="073564"/>
      <w:sz w:val="24"/>
      <w:szCs w:val="24"/>
      <w:b w:val="1"/>
      <w:bCs w:val="1"/>
    </w:rPr>
  </w:style>
  <w:style w:type="table" w:customStyle="1" w:styleId="grille">
    <w:name w:val="grille"/>
    <w:uiPriority w:val="99"/>
    <w:tblPr>
      <w:tblW w:w="0" w:type="auto"/>
      <w:tblLayout w:type="autofit"/>
      <w:tblCellMar>
        <w:top w:w="70" w:type="dxa"/>
        <w:left w:w="70" w:type="dxa"/>
        <w:right w:w="70" w:type="dxa"/>
        <w:bottom w:w="70" w:type="dxa"/>
      </w:tblCellMar>
      <w:tblBorders>
        <w:top w:val="single" w:sz="4" w:color="B8C4D6"/>
        <w:left w:val="single" w:sz="4" w:color="B8C4D6"/>
        <w:right w:val="single" w:sz="4" w:color="B8C4D6"/>
        <w:bottom w:val="single" w:sz="4" w:color="B8C4D6"/>
        <w:insideH w:val="single" w:sz="4" w:color="B8C4D6"/>
        <w:insideV w:val="single" w:sz="4" w:color="B8C4D6"/>
      </w:tblBorders>
    </w:tblPr>
    <w:tblStylePr w:type="firstRow">
      <w:tcPr>
        <w:tcPr>
          <w:shd w:val="clear" w:fill="0A4A8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Commission de la CEEAC</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DSI CEEAC</dc:creator>
  <dc:title>Jeu d'essai — Migration PostgreSQL 18</dc:title>
  <dc:description/>
  <dc:subject/>
  <cp:keywords/>
  <cp:category/>
  <cp:lastModifiedBy/>
  <dcterms:created xsi:type="dcterms:W3CDTF">2026-10-24T20:40:58+00:00</dcterms:created>
  <dcterms:modified xsi:type="dcterms:W3CDTF">2026-10-24T20:40:58+00:00</dcterms:modified>
</cp:coreProperties>
</file>

<file path=docProps/custom.xml><?xml version="1.0" encoding="utf-8"?>
<Properties xmlns="http://schemas.openxmlformats.org/officeDocument/2006/custom-properties" xmlns:vt="http://schemas.openxmlformats.org/officeDocument/2006/docPropsVTypes"/>
</file>