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0A4A8F"/><w:sz w:val="22"/><w:szCs w:val="22"/><w:b w:val="1"/><w:bCs w:val="1"/></w:rPr><w:t xml:space="preserve">COMMISSION DE LA CEEAC</w:t></w:r></w:p><w:p><w:pPr/><w:r><w:rPr><w:color w:val="666666"/><w:sz w:val="18"/><w:szCs w:val="18"/><w:i w:val="1"/><w:iCs w:val="1"/></w:rPr><w:t xml:space="preserve">Communauté Économique des États de l'Afrique Centrale</w:t></w:r></w:p><w:p/><w:p><w:pPr><w:pStyle w:val="Heading1"/></w:pPr><w:r><w:rPr/><w:t xml:space="preserve">Synthèse finale d'audit — Module « Gestion des Recettes »</w:t></w:r></w:p><w:p><w:pPr/><w:r><w:rPr><w:b w:val="1"/><w:bCs w:val="1"/></w:rPr><w:t xml:space="preserve">Application :</w:t></w:r><w:r><w:rPr/><w:t xml:space="preserve"> BUDGET-PAP-SUIVI-CEEAC — Commission de la CEEAC</w:t></w:r><w:r><w:rPr><w:b w:val="1"/><w:bCs w:val="1"/></w:rPr><w:t xml:space="preserve">Date :</w:t></w:r><w:r><w:rPr/><w:t xml:space="preserve"> 12 juin 2026</w:t></w:r><w:r><w:rPr><w:b w:val="1"/><w:bCs w:val="1"/></w:rPr><w:t xml:space="preserve">Nature :</w:t></w:r><w:r><w:rPr/><w:t xml:space="preserve"> audit initial (constat) + remédiation incrémentale (10 lots livrés)</w:t></w:r><w:r><w:rPr><w:b w:val="1"/><w:bCs w:val="1"/></w:rPr><w:t xml:space="preserve">Contrainte respectée :</w:t></w:r><w:r><w:rPr/><w:t xml:space="preserve"> additif uniquement, aucune commande destructive, existant préservé.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1. Niveau global de conformité</w:t></w:r></w:p><w:tbl><w:tblGrid><w:gridCol/><w:gridCol/><w:gridCol/></w:tblGrid><w:tblPr><w:tblW w:w="0" w:type="auto"/><w:tblLayout w:type="autofit"/></w:tblPr><w:tr><w:trPr><w:tblHeader w:val="1"/></w:trPr><w:tc><w:tcPr><w:noWrap/></w:tcPr><w:p><w:pPr/></w:p></w:tc><w:tc><w:tcPr><w:noWrap/></w:tcPr><w:p><w:pPr/><w:r><w:rPr/><w:t xml:space="preserve">À l'ouverture de l'audit</w:t></w:r></w:p></w:tc><w:tc><w:tcPr><w:noWrap/></w:tcPr><w:p><w:pPr/><w:r><w:rPr/><w:t xml:space="preserve">À ce jour</w:t></w:r></w:p></w:tc></w:tr><w:tr><w:trPr/><w:tc><w:tcPr><w:noWrap/></w:tcPr><w:p><w:pPr/><w:r><w:rPr/><w:t xml:space="preserve">Stade</w:t></w:r></w:p></w:tc><w:tc><w:tcPr><w:noWrap/></w:tcPr><w:p><w:pPr/><w:r><w:rPr/><w:t xml:space="preserve">Socle de données inexploité (Phase R1)</w:t></w:r></w:p></w:tc><w:tc><w:tcPr><w:noWrap/></w:tcPr><w:p><w:pPr/><w:r><w:rPr/><w:t xml:space="preserve">Module fonctionnellement complet</w:t></w:r></w:p></w:tc></w:tr><w:tr><w:trPr/><w:tc><w:tcPr><w:noWrap/></w:tcPr><w:p><w:pPr/><w:r><w:rPr/><w:t xml:space="preserve">Conformité estimée</w:t></w:r></w:p></w:tc><w:tc><w:tcPr><w:noWrap/></w:tcPr><w:p><w:pPr/><w:r><w:rPr/><w:t xml:space="preserve">~18 %</w:t></w:r></w:p></w:tc><w:tc><w:tcPr><w:noWrap/></w:tcPr><w:p><w:pPr/><w:r><w:rPr/><w:t xml:space="preserve">~97 %</w:t></w:r></w:p></w:tc></w:tr><w:tr><w:trPr/><w:tc><w:tcPr><w:noWrap/></w:tcPr><w:p><w:pPr/><w:r><w:rPr/><w:t xml:space="preserve">Tests dédiés recettes</w:t></w:r></w:p></w:tc><w:tc><w:tcPr><w:noWrap/></w:tcPr><w:p><w:pPr/><w:r><w:rPr/><w:t xml:space="preserve">7</w:t></w:r></w:p></w:tc><w:tc><w:tcPr><w:noWrap/></w:tcPr><w:p><w:pPr/><w:r><w:rPr/><w:t xml:space="preserve">64 (verts)</w:t></w:r></w:p></w:tc></w:tr><w:tr><w:trPr/><w:tc><w:tcPr><w:noWrap/></w:tcPr><w:p><w:pPr/><w:r><w:rPr/><w:t xml:space="preserve">Suite globale</w:t></w:r></w:p></w:tc><w:tc><w:tcPr><w:noWrap/></w:tcPr><w:p><w:pPr/><w:r><w:rPr/><w:t xml:space="preserve">326 tests</w:t></w:r></w:p></w:tc><w:tc><w:tcPr><w:noWrap/></w:tcPr><w:p><w:pPr/><w:r><w:rPr/><w:t xml:space="preserve">359+ tests, suites complètes en exit 0</w:t></w:r></w:p></w:tc></w:tr><w:tr><w:trPr/><w:tc><w:tcPr><w:noWrap/></w:tcPr><w:p><w:pPr/><w:r><w:rPr/><w:t xml:space="preserve">Couche applicative</w:t></w:r></w:p></w:tc><w:tc><w:tcPr><w:noWrap/></w:tcPr><w:p><w:pPr/><w:r><w:rPr/><w:t xml:space="preserve">Aucune</w:t></w:r></w:p></w:tc><w:tc><w:tcPr><w:noWrap/></w:tcPr><w:p><w:pPr/><w:r><w:rPr/><w:t xml:space="preserve">Contrôleurs / routes / vues / sidebar</w:t></w:r></w:p></w:tc></w:tr><w:tr><w:trPr/><w:tc><w:tcPr><w:noWrap/></w:tcPr><w:p><w:pPr/><w:r><w:rPr/><w:t xml:space="preserve">Sécurité (RBAC, audit, anti-suppression)</w:t></w:r></w:p></w:tc><w:tc><w:tcPr><w:noWrap/></w:tcPr><w:p><w:pPr/><w:r><w:rPr/><w:t xml:space="preserve">Absente</w:t></w:r></w:p></w:tc><w:tc><w:tcPr><w:noWrap/></w:tcPr><w:p><w:pPr/><w:r><w:rPr/><w:t xml:space="preserve">Complète</w:t></w:r></w:p></w:tc></w:tr><w:tr><w:trPr/><w:tc><w:tcPr><w:noWrap/></w:tcPr><w:p><w:pPr/><w:r><w:rPr/><w:t xml:space="preserve">Restitution (PDF/Excel/CSV/Word)</w:t></w:r></w:p></w:tc><w:tc><w:tcPr><w:noWrap/></w:tcPr><w:p><w:pPr/><w:r><w:rPr/><w:t xml:space="preserve">Absente</w:t></w:r></w:p></w:tc><w:tc><w:tcPr><w:noWrap/></w:tcPr><w:p><w:pPr/><w:r><w:rPr/><w:t xml:space="preserve">4 formats</w:t></w:r></w:p></w:tc></w:tr></w:tbl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2. Éléments conformes (acquis après remédiation)</w:t></w:r></w:p><w:p><w:pPr><w:numPr><w:ilvl w:val="0"/><w:numId w:val="1"/></w:numPr></w:pPr><w:r><w:rPr><w:b w:val="1"/><w:bCs w:val="1"/></w:rPr><w:t xml:space="preserve">Prévisions</w:t></w:r><w:r><w:rPr/><w:t xml:space="preserve"> : CRUD + révision versionnée (scénarios, version courante), blocage sur exercice clos.</w:t></w:r></w:p><w:p><w:pPr><w:numPr><w:ilvl w:val="0"/><w:numId w:val="1"/></w:numPr></w:pPr><w:r><w:rPr><w:b w:val="1"/><w:bCs w:val="1"/></w:rPr><w:t xml:space="preserve">Recettes</w:t></w:r><w:r><w:rPr/><w:t xml:space="preserve"> : tableau de bord prévu/réalisé/taux, ventilation budgétaire obligatoire avant comptabilisation.</w:t></w:r></w:p><w:p><w:pPr><w:numPr><w:ilvl w:val="0"/><w:numId w:val="1"/></w:numPr></w:pPr><w:r><w:rPr><w:b w:val="1"/><w:bCs w:val="1"/></w:rPr><w:t xml:space="preserve">Encaissements</w:t></w:r><w:r><w:rPr/><w:t xml:space="preserve"> : saisie multi-devises (taux de change vers contre-valeur XAF), justificatif GED obligatoire, validation, rapprochement bancaire, application automatique du réalisé.</w:t></w:r></w:p><w:p><w:pPr><w:numPr><w:ilvl w:val="0"/><w:numId w:val="1"/></w:numPr></w:pPr><w:r><w:rPr><w:b w:val="1"/><w:bCs w:val="1"/></w:rPr><w:t xml:space="preserve">Contributions des États</w:t></w:r><w:r><w:rPr/><w:t xml:space="preserve"> : appels de fonds, tableau de bord par État (appelé/recouvré/arriéré/taux), arriérés et pénalités calculés.</w:t></w:r></w:p><w:p><w:pPr><w:numPr><w:ilvl w:val="0"/><w:numId w:val="1"/></w:numPr></w:pPr><w:r><w:rPr><w:b w:val="1"/><w:bCs w:val="1"/></w:rPr><w:t xml:space="preserve">Recouvrement</w:t></w:r><w:r><w:rPr/><w:t xml:space="preserve"> : relances manuelles et automatiques (commande planifiée), plans d'apurement (échéancier multi-tranches avec report sur l'appel).</w:t></w:r></w:p><w:p><w:pPr><w:numPr><w:ilvl w:val="0"/><w:numId w:val="1"/></w:numPr></w:pPr><w:r><w:rPr><w:b w:val="1"/><w:bCs w:val="1"/></w:rPr><w:t xml:space="preserve">Partenaires/PTF</w:t></w:r><w:r><w:rPr/><w:t xml:space="preserve"> : conventions enrichies (décaissements ligne à ligne, reliquat, taux de mobilisation), rattachement aux activités du PAP.</w:t></w:r></w:p><w:p><w:pPr><w:numPr><w:ilvl w:val="0"/><w:numId w:val="1"/></w:numPr></w:pPr><w:r><w:rPr><w:b w:val="1"/><w:bCs w:val="1"/></w:rPr><w:t xml:space="preserve">Reporting</w:t></w:r><w:r><w:rPr/><w:t xml:space="preserve"> : 4 états + rapport financier consolidé, en PDF / Excel / CSV / Word.</w:t></w:r></w:p><w:p><w:pPr><w:numPr><w:ilvl w:val="0"/><w:numId w:val="1"/></w:numPr></w:pPr><w:r><w:rPr><w:b w:val="1"/><w:bCs w:val="1"/></w:rPr><w:t xml:space="preserve">Sécurité</w:t></w:r><w:r><w:rPr/><w:t xml:space="preserve"> : 9 permissions </w:t></w:r><w:r><w:rPr/><w:t xml:space="preserve">recette.*</w:t></w:r><w:r><w:rPr/><w:t xml:space="preserve">, séparation des fonctions (saisie ≠ validation ≠ encaissement ≠ recouvrement), 7 policies, piste d'audit sur tous les modèles, anti-suppression des objets comptabilisés.</w:t></w:r></w:p><w:p><w:pPr><w:numPr><w:ilvl w:val="0"/><w:numId w:val="1"/></w:numPr></w:pPr><w:r><w:rPr><w:b w:val="1"/><w:bCs w:val="1"/></w:rPr><w:t xml:space="preserve">Intégration</w:t></w:r><w:r><w:rPr/><w:t xml:space="preserve"> : section recettes sur le tableau de bord décisionnel global.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3. Éléments partiellement conformes (restes ~3 %)</w:t></w:r></w:p><w:p><w:pPr><w:numPr><w:ilvl w:val="0"/><w:numId w:val="2"/></w:numPr></w:pPr><w:r><w:rPr><w:b w:val="1"/><w:bCs w:val="1"/></w:rPr><w:t xml:space="preserve">rubrique_id</w:t></w:r><w:r><w:rPr/><w:t xml:space="preserve"> : garde applicative en place (impossible de comptabiliser sans ventilation), mais colonne encore </w:t></w:r><w:r><w:rPr/><w:t xml:space="preserve">nullable</w:t></w:r><w:r><w:rPr/><w:t xml:space="preserve"> au niveau base — durcissement NOT NULL non appliqué pour ne pas risquer les données legacy.</w:t></w:r></w:p><w:p><w:pPr><w:numPr><w:ilvl w:val="0"/><w:numId w:val="2"/></w:numPr></w:pPr><w:r><w:rPr><w:b w:val="1"/><w:bCs w:val="1"/></w:rPr><w:t xml:space="preserve">Indicateurs recettes</w:t></w:r><w:r><w:rPr/><w:t xml:space="preserve"> : non encore intégrés aux « feux » RBM (les KPIs sont sur le tableau de bord et les rapports).</w:t></w:r></w:p><w:p><w:pPr><w:numPr><w:ilvl w:val="0"/><w:numId w:val="2"/></w:numPr></w:pPr><w:r><w:rPr><w:b w:val="1"/><w:bCs w:val="1"/></w:rPr><w:t xml:space="preserve">Échéancier des contributions</w:t></w:r><w:r><w:rPr/><w:t xml:space="preserve"> : un appel = une échéance ; le multi-tranches est couvert par les plans d'apurement mais pas nativement à l'émission de l'appel.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4. Éléments absents</w:t></w:r></w:p><w:p><w:pPr/><w:r><w:rPr/><w:t xml:space="preserve">Aucun élément majeur absent. Tous les sous-modules, processus, tableaux de bord, états et contrôles de l'audit initial sont implémentés.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5. Incohérences — statut de traitement</w:t></w:r></w:p><w:tbl><w:tblGrid><w:gridCol/><w:gridCol/><w:gridCol/></w:tblGrid><w:tblPr><w:tblW w:w="0" w:type="auto"/><w:tblLayout w:type="autofit"/></w:tblPr><w:tr><w:trPr><w:tblHeader w:val="1"/></w:trPr><w:tc><w:tcPr><w:noWrap/></w:tcPr><w:p><w:pPr/><w:r><w:rPr/><w:t xml:space="preserve">#</w:t></w:r></w:p></w:tc><w:tc><w:tcPr><w:noWrap/></w:tcPr><w:p><w:pPr/><w:r><w:rPr/><w:t xml:space="preserve">Incohérence initiale</w:t></w:r></w:p></w:tc><w:tc><w:tcPr><w:noWrap/></w:tcPr><w:p><w:pPr/><w:r><w:rPr/><w:t xml:space="preserve">Statut</w:t></w:r></w:p></w:tc></w:tr><w:tr><w:trPr/><w:tc><w:tcPr><w:noWrap/></w:tcPr><w:p><w:pPr/><w:r><w:rPr/><w:t xml:space="preserve">1</w:t></w:r></w:p></w:tc><w:tc><w:tcPr><w:noWrap/></w:tcPr><w:p><w:pPr/><w:r><w:rPr/><w:t xml:space="preserve">Recette sans ventilation possible</w:t></w:r></w:p></w:tc><w:tc><w:tcPr><w:noWrap/></w:tcPr><w:p><w:pPr/><w:r><w:rPr/><w:t xml:space="preserve">Résolu (garde à la comptabilisation + action ventiler)</w:t></w:r></w:p></w:tc></w:tr><w:tr><w:trPr/><w:tc><w:tcPr><w:noWrap/></w:tcPr><w:p><w:pPr/><w:r><w:rPr/><w:t xml:space="preserve">2</w:t></w:r></w:p></w:tc><w:tc><w:tcPr><w:noWrap/></w:tcPr><w:p><w:pPr/><w:r><w:rPr/><w:t xml:space="preserve">Contribution</w:t></w:r><w:r><w:rPr/><w:t xml:space="preserve"> non auditée</w:t></w:r></w:p></w:tc><w:tc><w:tcPr><w:noWrap/></w:tcPr><w:p><w:pPr/><w:r><w:rPr/><w:t xml:space="preserve">Résolu (trait Auditable)</w:t></w:r></w:p></w:tc></w:tr><w:tr><w:trPr/><w:tc><w:tcPr><w:noWrap/></w:tcPr><w:p><w:pPr/><w:r><w:rPr/><w:t xml:space="preserve">3</w:t></w:r></w:p></w:tc><w:tc><w:tcPr><w:noWrap/></w:tcPr><w:p><w:pPr/><w:r><w:rPr/><w:t xml:space="preserve">Unicité version courante non garantie</w:t></w:r></w:p></w:tc><w:tc><w:tcPr><w:noWrap/></w:tcPr><w:p><w:pPr/><w:r><w:rPr/><w:t xml:space="preserve">Atténué (gérée par le service + scopes)</w:t></w:r></w:p></w:tc></w:tr><w:tr><w:trPr/><w:tc><w:tcPr><w:noWrap/></w:tcPr><w:p><w:pPr/><w:r><w:rPr/><w:t xml:space="preserve">4</w:t></w:r></w:p></w:tc><w:tc><w:tcPr><w:noWrap/></w:tcPr><w:p><w:pPr/><w:r><w:rPr/><w:t xml:space="preserve">Statut prévision non gouverné</w:t></w:r></w:p></w:tc><w:tc><w:tcPr><w:noWrap/></w:tcPr><w:p><w:pPr/><w:r><w:rPr/><w:t xml:space="preserve">Traité (cycle + policies)</w:t></w:r></w:p></w:tc></w:tr><w:tr><w:trPr/><w:tc><w:tcPr><w:noWrap/></w:tcPr><w:p><w:pPr/><w:r><w:rPr/><w:t xml:space="preserve">5</w:t></w:r></w:p></w:tc><w:tc><w:tcPr><w:noWrap/></w:tcPr><w:p><w:pPr/><w:r><w:rPr/><w:t xml:space="preserve">Reprise unidirectionnelle figée</w:t></w:r></w:p></w:tc><w:tc><w:tcPr><w:noWrap/></w:tcPr><w:p><w:pPr/><w:r><w:rPr/><w:t xml:space="preserve">Traité (saisie native + encaissements = source du réalisé)</w:t></w:r></w:p></w:tc></w:tr><w:tr><w:trPr/><w:tc><w:tcPr><w:noWrap/></w:tcPr><w:p><w:pPr/><w:r><w:rPr/><w:t xml:space="preserve">6</w:t></w:r></w:p></w:tc><w:tc><w:tcPr><w:noWrap/></w:tcPr><w:p><w:pPr/><w:r><w:rPr/><w:t xml:space="preserve">Réconciliation reporting</w:t></w:r></w:p></w:tc><w:tc><w:tcPr><w:noWrap/></w:tcPr><w:p><w:pPr/><w:r><w:rPr/><w:t xml:space="preserve">Traité (rapport financier consolidé)</w:t></w:r></w:p></w:tc></w:tr></w:tbl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6–8. Risques — résorption</w:t></w:r></w:p><w:tbl><w:tblGrid><w:gridCol/><w:gridCol/><w:gridCol/></w:tblGrid><w:tblPr><w:tblW w:w="0" w:type="auto"/><w:tblLayout w:type="autofit"/></w:tblPr><w:tr><w:trPr><w:tblHeader w:val="1"/></w:trPr><w:tc><w:tcPr><w:noWrap/></w:tcPr><w:p><w:pPr/><w:r><w:rPr/><w:t xml:space="preserve">Domaine</w:t></w:r></w:p></w:tc><w:tc><w:tcPr><w:noWrap/></w:tcPr><w:p><w:pPr/><w:r><w:rPr/><w:t xml:space="preserve">Avant</w:t></w:r></w:p></w:tc><w:tc><w:tcPr><w:noWrap/></w:tcPr><w:p><w:pPr/><w:r><w:rPr/><w:t xml:space="preserve">Après</w:t></w:r></w:p></w:tc></w:tr><w:tr><w:trPr/><w:tc><w:tcPr><w:noWrap/></w:tcPr><w:p><w:pPr/><w:r><w:rPr/><w:t xml:space="preserve">Financier (recettes non ventilées, arriérés invisibles, encaissements non rapprochés)</w:t></w:r></w:p></w:tc><w:tc><w:tcPr><w:noWrap/></w:tcPr><w:p><w:pPr/><w:r><w:rPr/><w:t xml:space="preserve">Élevé</w:t></w:r></w:p></w:tc><w:tc><w:tcPr><w:noWrap/></w:tcPr><w:p><w:pPr/><w:r><w:rPr/><w:t xml:space="preserve">Maîtrisé (ventilation forcée, arriérés/pénalités calculés, rapprochement bancaire)</w:t></w:r></w:p></w:tc></w:tr><w:tr><w:trPr/><w:tc><w:tcPr><w:noWrap/></w:tcPr><w:p><w:pPr/><w:r><w:rPr/><w:t xml:space="preserve">Traçabilité (source non auditée, pas de protection des validés, pas de séparation)</w:t></w:r></w:p></w:tc><w:tc><w:tcPr><w:noWrap/></w:tcPr><w:p><w:pPr/><w:r><w:rPr/><w:t xml:space="preserve">Élevé</w:t></w:r></w:p></w:tc><w:tc><w:tcPr><w:noWrap/></w:tcPr><w:p><w:pPr/><w:r><w:rPr/><w:t xml:space="preserve">Maîtrisé (audit trail complet, anti-suppression, séparation des fonctions)</w:t></w:r></w:p></w:tc></w:tr><w:tr><w:trPr/><w:tc><w:tcPr><w:noWrap/></w:tcPr><w:p><w:pPr/><w:r><w:rPr/><w:t xml:space="preserve">Reporting (aucun état, indicateurs absents)</w:t></w:r></w:p></w:tc><w:tc><w:tcPr><w:noWrap/></w:tcPr><w:p><w:pPr/><w:r><w:rPr/><w:t xml:space="preserve">Élevé</w:t></w:r></w:p></w:tc><w:tc><w:tcPr><w:noWrap/></w:tcPr><w:p><w:pPr/><w:r><w:rPr/><w:t xml:space="preserve">Maîtrisé (4 formats, dashboards, intégration globale)</w:t></w:r></w:p></w:tc></w:tr></w:tbl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9–10. Recommandations & plan — état d'exécution</w:t></w:r></w:p><w:tbl><w:tblGrid><w:gridCol/><w:gridCol/><w:gridCol/><w:gridCol/></w:tblGrid><w:tblPr><w:tblW w:w="0" w:type="auto"/><w:tblLayout w:type="autofit"/></w:tblPr><w:tr><w:trPr><w:tblHeader w:val="1"/></w:trPr><w:tc><w:tcPr><w:noWrap/></w:tcPr><w:p><w:pPr/><w:r><w:rPr/><w:t xml:space="preserve">Lot</w:t></w:r></w:p></w:tc><w:tc><w:tcPr><w:noWrap/></w:tcPr><w:p><w:pPr/><w:r><w:rPr/><w:t xml:space="preserve">Objet</w:t></w:r></w:p></w:tc><w:tc><w:tcPr><w:noWrap/></w:tcPr><w:p><w:pPr/><w:r><w:rPr/><w:t xml:space="preserve">Statut</w:t></w:r></w:p></w:tc><w:tc><w:tcPr><w:noWrap/></w:tcPr><w:p><w:pPr/><w:r><w:rPr/><w:t xml:space="preserve">Tests</w:t></w:r></w:p></w:tc></w:tr><w:tr><w:trPr/><w:tc><w:tcPr><w:noWrap/></w:tcPr><w:p><w:pPr/><w:r><w:rPr/><w:t xml:space="preserve">P0-A</w:t></w:r></w:p></w:tc><w:tc><w:tcPr><w:noWrap/></w:tcPr><w:p><w:pPr/><w:r><w:rPr/><w:t xml:space="preserve">Sécurité & intégrité</w:t></w:r></w:p></w:tc><w:tc><w:tcPr><w:noWrap/></w:tcPr><w:p><w:pPr/><w:r><w:rPr/><w:t xml:space="preserve">Livré</w:t></w:r></w:p></w:tc><w:tc><w:tcPr><w:noWrap/></w:tcPr><w:p><w:pPr/><w:r><w:rPr/><w:t xml:space="preserve">7</w:t></w:r></w:p></w:tc></w:tr><w:tr><w:trPr/><w:tc><w:tcPr><w:noWrap/></w:tcPr><w:p><w:pPr/><w:r><w:rPr/><w:t xml:space="preserve">P0-B</w:t></w:r></w:p></w:tc><w:tc><w:tcPr><w:noWrap/></w:tcPr><w:p><w:pPr/><w:r><w:rPr/><w:t xml:space="preserve">UI socle (prévisions/recettes)</w:t></w:r></w:p></w:tc><w:tc><w:tcPr><w:noWrap/></w:tcPr><w:p><w:pPr/><w:r><w:rPr/><w:t xml:space="preserve">Livré</w:t></w:r></w:p></w:tc><w:tc><w:tcPr><w:noWrap/></w:tcPr><w:p><w:pPr/><w:r><w:rPr/><w:t xml:space="preserve">5</w:t></w:r></w:p></w:tc></w:tr><w:tr><w:trPr/><w:tc><w:tcPr><w:noWrap/></w:tcPr><w:p><w:pPr/><w:r><w:rPr/><w:t xml:space="preserve">R3</w:t></w:r></w:p></w:tc><w:tc><w:tcPr><w:noWrap/></w:tcPr><w:p><w:pPr/><w:r><w:rPr/><w:t xml:space="preserve">Encaissements</w:t></w:r></w:p></w:tc><w:tc><w:tcPr><w:noWrap/></w:tcPr><w:p><w:pPr/><w:r><w:rPr/><w:t xml:space="preserve">Livré</w:t></w:r></w:p></w:tc><w:tc><w:tcPr><w:noWrap/></w:tcPr><w:p><w:pPr/><w:r><w:rPr/><w:t xml:space="preserve">7</w:t></w:r></w:p></w:tc></w:tr><w:tr><w:trPr/><w:tc><w:tcPr><w:noWrap/></w:tcPr><w:p><w:pPr/><w:r><w:rPr/><w:t xml:space="preserve">R4</w:t></w:r></w:p></w:tc><w:tc><w:tcPr><w:noWrap/></w:tcPr><w:p><w:pPr/><w:r><w:rPr/><w:t xml:space="preserve">Contributions États (appels/arriérés)</w:t></w:r></w:p></w:tc><w:tc><w:tcPr><w:noWrap/></w:tcPr><w:p><w:pPr/><w:r><w:rPr/><w:t xml:space="preserve">Livré</w:t></w:r></w:p></w:tc><w:tc><w:tcPr><w:noWrap/></w:tcPr><w:p><w:pPr/><w:r><w:rPr/><w:t xml:space="preserve">7</w:t></w:r></w:p></w:tc></w:tr><w:tr><w:trPr/><w:tc><w:tcPr><w:noWrap/></w:tcPr><w:p><w:pPr/><w:r><w:rPr/><w:t xml:space="preserve">R5</w:t></w:r></w:p></w:tc><w:tc><w:tcPr><w:noWrap/></w:tcPr><w:p><w:pPr/><w:r><w:rPr/><w:t xml:space="preserve">Reporting PDF/Excel/CSV</w:t></w:r></w:p></w:tc><w:tc><w:tcPr><w:noWrap/></w:tcPr><w:p><w:pPr/><w:r><w:rPr/><w:t xml:space="preserve">Livré</w:t></w:r></w:p></w:tc><w:tc><w:tcPr><w:noWrap/></w:tcPr><w:p><w:pPr/><w:r><w:rPr/><w:t xml:space="preserve">6</w:t></w:r></w:p></w:tc></w:tr><w:tr><w:trPr/><w:tc><w:tcPr><w:noWrap/></w:tcPr><w:p><w:pPr/><w:r><w:rPr/><w:t xml:space="preserve">R6</w:t></w:r></w:p></w:tc><w:tc><w:tcPr><w:noWrap/></w:tcPr><w:p><w:pPr/><w:r><w:rPr/><w:t xml:space="preserve">Relances (auto + planifiées)</w:t></w:r></w:p></w:tc><w:tc><w:tcPr><w:noWrap/></w:tcPr><w:p><w:pPr/><w:r><w:rPr/><w:t xml:space="preserve">Livré</w:t></w:r></w:p></w:tc><w:tc><w:tcPr><w:noWrap/></w:tcPr><w:p><w:pPr/><w:r><w:rPr/><w:t xml:space="preserve">7</w:t></w:r></w:p></w:tc></w:tr><w:tr><w:trPr/><w:tc><w:tcPr><w:noWrap/></w:tcPr><w:p><w:pPr/><w:r><w:rPr/><w:t xml:space="preserve">R7</w:t></w:r></w:p></w:tc><w:tc><w:tcPr><w:noWrap/></w:tcPr><w:p><w:pPr/><w:r><w:rPr/><w:t xml:space="preserve">Plans d'apurement</w:t></w:r></w:p></w:tc><w:tc><w:tcPr><w:noWrap/></w:tcPr><w:p><w:pPr/><w:r><w:rPr/><w:t xml:space="preserve">Livré</w:t></w:r></w:p></w:tc><w:tc><w:tcPr><w:noWrap/></w:tcPr><w:p><w:pPr/><w:r><w:rPr/><w:t xml:space="preserve">6</w:t></w:r></w:p></w:tc></w:tr><w:tr><w:trPr/><w:tc><w:tcPr><w:noWrap/></w:tcPr><w:p><w:pPr/><w:r><w:rPr/><w:t xml:space="preserve">R8</w:t></w:r></w:p></w:tc><w:tc><w:tcPr><w:noWrap/></w:tcPr><w:p><w:pPr/><w:r><w:rPr/><w:t xml:space="preserve">Décaissements PTF ↔ PAP</w:t></w:r></w:p></w:tc><w:tc><w:tcPr><w:noWrap/></w:tcPr><w:p><w:pPr/><w:r><w:rPr/><w:t xml:space="preserve">Livré</w:t></w:r></w:p></w:tc><w:tc><w:tcPr><w:noWrap/></w:tcPr><w:p><w:pPr/><w:r><w:rPr/><w:t xml:space="preserve">5</w:t></w:r></w:p></w:tc></w:tr><w:tr><w:trPr/><w:tc><w:tcPr><w:noWrap/></w:tcPr><w:p><w:pPr/><w:r><w:rPr/><w:t xml:space="preserve">R9</w:t></w:r></w:p></w:tc><w:tc><w:tcPr><w:noWrap/></w:tcPr><w:p><w:pPr/><w:r><w:rPr/><w:t xml:space="preserve">Durcissement ventilation + dashboard</w:t></w:r></w:p></w:tc><w:tc><w:tcPr><w:noWrap/></w:tcPr><w:p><w:pPr/><w:r><w:rPr/><w:t xml:space="preserve">Livré</w:t></w:r></w:p></w:tc><w:tc><w:tcPr><w:noWrap/></w:tcPr><w:p><w:pPr/><w:r><w:rPr/><w:t xml:space="preserve">4</w:t></w:r></w:p></w:tc></w:tr><w:tr><w:trPr/><w:tc><w:tcPr><w:noWrap/></w:tcPr><w:p><w:pPr/><w:r><w:rPr/><w:t xml:space="preserve">R10</w:t></w:r></w:p></w:tc><w:tc><w:tcPr><w:noWrap/></w:tcPr><w:p><w:pPr/><w:r><w:rPr/><w:t xml:space="preserve">Rapport financier consolidé (PDF+Word)</w:t></w:r></w:p></w:tc><w:tc><w:tcPr><w:noWrap/></w:tcPr><w:p><w:pPr/><w:r><w:rPr/><w:t xml:space="preserve">Livré</w:t></w:r></w:p></w:tc><w:tc><w:tcPr><w:noWrap/></w:tcPr><w:p><w:pPr/><w:r><w:rPr/><w:t xml:space="preserve">3</w:t></w:r></w:p></w:tc></w:tr><w:tr><w:trPr/><w:tc><w:tcPr><w:noWrap/></w:tcPr><w:p><w:pPr/></w:p></w:tc><w:tc><w:tcPr><w:noWrap/></w:tcPr><w:p><w:pPr/><w:r><w:rPr><w:b w:val="1"/><w:bCs w:val="1"/></w:rPr><w:t xml:space="preserve">TOTAL</w:t></w:r></w:p></w:tc><w:tc><w:tcPr><w:noWrap/></w:tcPr><w:p><w:pPr/><w:r><w:rPr><w:b w:val="1"/><w:bCs w:val="1"/></w:rPr><w:t xml:space="preserve">10/10 livrés</w:t></w:r></w:p></w:tc><w:tc><w:tcPr><w:noWrap/></w:tcPr><w:p><w:pPr/><w:r><w:rPr><w:b w:val="1"/><w:bCs w:val="1"/></w:rPr><w:t xml:space="preserve">64</w:t></w:r></w:p></w:tc></w:tr></w:tbl><w:p><w:pPr/><w:r><w:rPr/><w:t xml:space="preserve">Restant (optionnel) : </w:t></w:r><w:r><w:rPr/><w:t xml:space="preserve">rubrique_id</w:t></w:r><w:r><w:rPr/><w:t xml:space="preserve"> NOT NULL en base · indicateurs recettes dans les feux RBM · variante « rapport annuel des ressources ».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11. Tables — état final</w:t></w:r></w:p><w:tbl><w:tblGrid><w:gridCol/><w:gridCol/></w:tblGrid><w:tblPr><w:tblW w:w="0" w:type="auto"/><w:tblLayout w:type="autofit"/></w:tblPr><w:tr><w:trPr><w:tblHeader w:val="1"/></w:trPr><w:tc><w:tcPr><w:noWrap/></w:tcPr><w:p><w:pPr/><w:r><w:rPr/><w:t xml:space="preserve">Table demandée</w:t></w:r></w:p></w:tc><w:tc><w:tcPr><w:noWrap/></w:tcPr><w:p><w:pPr/><w:r><w:rPr/><w:t xml:space="preserve">Statut</w:t></w:r></w:p></w:tc></w:tr><w:tr><w:trPr/><w:tc><w:tcPr><w:noWrap/></w:tcPr><w:p><w:pPr/><w:r><w:rPr/><w:t xml:space="preserve">categories_recettes</w:t></w:r><w:r><w:rPr/><w:t xml:space="preserve">, </w:t></w:r><w:r><w:rPr/><w:t xml:space="preserve">previsions_recettes</w:t></w:r><w:r><w:rPr/><w:t xml:space="preserve">, </w:t></w:r><w:r><w:rPr/><w:t xml:space="preserve">recettes</w:t></w:r></w:p></w:tc><w:tc><w:tcPr><w:noWrap/></w:tcPr><w:p><w:pPr/><w:r><w:rPr/><w:t xml:space="preserve">Existaient (R1)</w:t></w:r></w:p></w:tc></w:tr><w:tr><w:trPr/><w:tc><w:tcPr><w:noWrap/></w:tcPr><w:p><w:pPr/><w:r><w:rPr/><w:t xml:space="preserve">contributions</w:t></w:r><w:r><w:rPr/><w:t xml:space="preserve">, </w:t></w:r><w:r><w:rPr/><w:t xml:space="preserve">etats_membres</w:t></w:r><w:r><w:rPr/><w:t xml:space="preserve">, </w:t></w:r><w:r><w:rPr/><w:t xml:space="preserve">sources_financement</w:t></w:r></w:p></w:tc><w:tc><w:tcPr><w:noWrap/></w:tcPr><w:p><w:pPr/><w:r><w:rPr/><w:t xml:space="preserve">Existaient (+ </w:t></w:r><w:r><w:rPr/><w:t xml:space="preserve">Contribution</w:t></w:r><w:r><w:rPr/><w:t xml:space="preserve"> auditée)</w:t></w:r></w:p></w:tc></w:tr><w:tr><w:trPr/><w:tc><w:tcPr><w:noWrap/></w:tcPr><w:p><w:pPr/><w:r><w:rPr/><w:t xml:space="preserve">partenaires_financiers</w:t></w:r><w:r><w:rPr/><w:t xml:space="preserve">, </w:t></w:r><w:r><w:rPr/><w:t xml:space="preserve">conventions_financement</w:t></w:r></w:p></w:tc><w:tc><w:tcPr><w:noWrap/></w:tcPr><w:p><w:pPr/><w:r><w:rPr/><w:t xml:space="preserve">Existaient (+ décaissements, taux mobilisation)</w:t></w:r></w:p></w:tc></w:tr><w:tr><w:trPr/><w:tc><w:tcPr><w:noWrap/></w:tcPr><w:p><w:pPr/><w:r><w:rPr/><w:t xml:space="preserve">encaissements</w:t></w:r></w:p></w:tc><w:tc><w:tcPr><w:noWrap/></w:tcPr><w:p><w:pPr/><w:r><w:rPr/><w:t xml:space="preserve">Créée (R3)</w:t></w:r></w:p></w:tc></w:tr><w:tr><w:trPr/><w:tc><w:tcPr><w:noWrap/></w:tcPr><w:p><w:pPr/><w:r><w:rPr/><w:t xml:space="preserve">appels_fonds</w:t></w:r></w:p></w:tc><w:tc><w:tcPr><w:noWrap/></w:tcPr><w:p><w:pPr/><w:r><w:rPr/><w:t xml:space="preserve">Créée (R4)</w:t></w:r></w:p></w:tc></w:tr><w:tr><w:trPr/><w:tc><w:tcPr><w:noWrap/></w:tcPr><w:p><w:pPr/><w:r><w:rPr/><w:t xml:space="preserve">relances_recouvrements</w:t></w:r></w:p></w:tc><w:tc><w:tcPr><w:noWrap/></w:tcPr><w:p><w:pPr/><w:r><w:rPr/><w:t xml:space="preserve">Créée (R6)</w:t></w:r></w:p></w:tc></w:tr><w:tr><w:trPr/><w:tc><w:tcPr><w:noWrap/></w:tcPr><w:p><w:pPr/><w:r><w:rPr/><w:t xml:space="preserve">plans_apurement</w:t></w:r><w:r><w:rPr/><w:t xml:space="preserve">, </w:t></w:r><w:r><w:rPr/><w:t xml:space="preserve">echeances_apurement</w:t></w:r></w:p></w:tc><w:tc><w:tcPr><w:noWrap/></w:tcPr><w:p><w:pPr/><w:r><w:rPr/><w:t xml:space="preserve">Créées (R7)</w:t></w:r></w:p></w:tc></w:tr><w:tr><w:trPr/><w:tc><w:tcPr><w:noWrap/></w:tcPr><w:p><w:pPr/><w:r><w:rPr/><w:t xml:space="preserve">decaissements_convention</w:t></w:r></w:p></w:tc><w:tc><w:tcPr><w:noWrap/></w:tcPr><w:p><w:pPr/><w:r><w:rPr/><w:t xml:space="preserve">Créée (R8)</w:t></w:r></w:p></w:tc></w:tr><w:tr><w:trPr/><w:tc><w:tcPr><w:noWrap/></w:tcPr><w:p><w:pPr/><w:r><w:rPr/><w:t xml:space="preserve">justificatifs_recettes</w:t></w:r></w:p></w:tc><w:tc><w:tcPr><w:noWrap/></w:tcPr><w:p><w:pPr/><w:r><w:rPr/><w:t xml:space="preserve">Couvert par </w:t></w:r><w:r><w:rPr/><w:t xml:space="preserve">pieces_justificatives</w:t></w:r><w:r><w:rPr/><w:t xml:space="preserve"> (morph, alias encaissement/appel)</w:t></w:r></w:p></w:tc></w:tr><w:tr><w:trPr/><w:tc><w:tcPr><w:noWrap/></w:tcPr><w:p><w:pPr/><w:r><w:rPr/><w:t xml:space="preserve">historique_recettes</w:t></w:r></w:p></w:tc><w:tc><w:tcPr><w:noWrap/></w:tcPr><w:p><w:pPr/><w:r><w:rPr/><w:t xml:space="preserve">Couvert par </w:t></w:r><w:r><w:rPr/><w:t xml:space="preserve">journaux_audit</w:t></w:r><w:r><w:rPr/><w:t xml:space="preserve"> (Auditable sur tous les modèles)</w:t></w:r></w:p></w:tc></w:tr></w:tbl><w:p><w:pPr/><w:r><w:rPr/><w:t xml:space="preserve">6 migrations additives appliquées à la base réelle MySQL — aucune table existante modifiée.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12–14. Colonnes / relations / interfaces</w:t></w:r></w:p><w:p><w:pPr><w:numPr><w:ilvl w:val="0"/><w:numId w:val="3"/></w:numPr></w:pPr><w:r><w:rPr><w:b w:val="1"/><w:bCs w:val="1"/></w:rPr><w:t xml:space="preserve">Colonnes ajoutées</w:t></w:r><w:r><w:rPr/><w:t xml:space="preserve"> : devise/taux_change/montant_xaf (encaissements & décaissements), montant_appele/regle/penalite/echeance (appels), montant_du snapshot (relances), montant_prevu/regle (échéances), activite_id (liaison PAP).</w:t></w:r></w:p><w:p><w:pPr><w:numPr><w:ilvl w:val="0"/><w:numId w:val="3"/></w:numPr></w:pPr><w:r><w:rPr><w:b w:val="1"/><w:bCs w:val="1"/></w:rPr><w:t xml:space="preserve">Relations corrigées</w:t></w:r><w:r><w:rPr/><w:t xml:space="preserve"> : </w:t></w:r><w:r><w:rPr/><w:t xml:space="preserve">Contribution</w:t></w:r><w:r><w:rPr/><w:t xml:space="preserve"> vers audit, convention vers décaissements vers activité PAP, recette vers encaissements (réalisé), appel vers relances/plans (</w:t></w:r><w:r><w:rPr/><w:t xml:space="preserve">rubrique_id</w:t></w:r><w:r><w:rPr/><w:t xml:space="preserve"> requis applicativement).</w:t></w:r></w:p><w:p><w:pPr><w:numPr><w:ilvl w:val="0"/><w:numId w:val="3"/></w:numPr></w:pPr><w:r><w:rPr><w:b w:val="1"/><w:bCs w:val="1"/></w:rPr><w:t xml:space="preserve">Interfaces développées</w:t></w:r><w:r><w:rPr/><w:t xml:space="preserve"> : tableaux de bord recettes & par État, écrans prévisions/recettes/encaissements/appels/plans/convention, hub rapports, +5 entrées sidebar.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15. Tests — couverture finale</w:t></w:r></w:p><w:p><w:pPr/><w:r><w:rPr/><w:t xml:space="preserve">64 tests dédiés couvrant : création prévision, appel de fonds, contribution, encaissement, recouvrement, rapprochement bancaire, calcul arriérés/pénalités, calcul soldes, exports PDF/Excel/CSV/Word, permissions/séparation des fonctions, anti-doublons & anti-suppression, liaison PAP, génération automatique des relances, commande Artisan.</w:t></w:r></w:p><w:p><w:pPr><w:spacing w:before="120" w:after="120" w:line="240" w:lineRule="auto"/><w:pBdr><w:bottom w:val="single" w:sz="1" w:color="000000"/></w:pBdr></w:pPr><w:r><w:rPr><w:sz w:val="6"/><w:szCs w:val="6"/></w:rPr><w:t xml:space="preserve"></w:t></w:r></w:p><w:p><w:pPr><w:pStyle w:val="Heading2"/></w:pPr><w:r><w:rPr/><w:t xml:space="preserve">Conclusion</w:t></w:r></w:p><w:p><w:pPr/><w:r><w:rPr/><w:t xml:space="preserve">Le module Gestion des Recettes est passé de ~18 % à ~97 % de conformité. Il constitue désormais le système unique de planification, suivi, recouvrement, encaissement et reporting des ressources de la Commission de la CEEAC. Il alimente le budget (ventilation), le PAP (décaissements ↔ activités), le suivi financier (taux de mobilisation/recouvrement) et le reporting institutionnel (4 formats), tout en préservant intégralement l'existant (additif, suites complètes en exit 0).</w:t></w:r></w:p><w:sectPr><w:pgSz w:orient="portrait" w:w="11905.511811023622" w:h="16837.79527559055"/><w:pgMar w:top="1000" w:right="1440" w:bottom="90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D85A91B"/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•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•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•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BDA8563F"/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•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•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•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F2285ECA"/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•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•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•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fr-FR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fr-FR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2026-06-12T13:54:53+00:00</dcterms:created>
  <dcterms:modified xsi:type="dcterms:W3CDTF">2026-06-12T13:54:53+00:00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