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CBA" w:rsidRDefault="00872CBA">
      <w:pPr>
        <w:spacing w:before="120"/>
        <w:jc w:val="both"/>
        <w:rPr>
          <w:i/>
          <w:iCs/>
          <w:sz w:val="18"/>
          <w:szCs w:val="18"/>
          <w:lang w:val="fr-CH"/>
        </w:rPr>
      </w:pPr>
    </w:p>
    <w:p w:rsidR="00872CBA" w:rsidRPr="00872CBA" w:rsidRDefault="00872CBA" w:rsidP="00872CBA">
      <w:pPr>
        <w:spacing w:before="120"/>
        <w:jc w:val="both"/>
        <w:rPr>
          <w:lang w:val="fr-CH"/>
        </w:rPr>
      </w:pPr>
      <w:r>
        <w:rPr>
          <w:lang w:val="fr-CH"/>
        </w:rPr>
        <w:t>HF SIGNAL 01: A Candidate Machine-Readable Protective Signal for Testing and Standardization</w:t>
      </w:r>
    </w:p>
    <w:p w:rsidR="00872CBA" w:rsidRPr="00872CBA" w:rsidRDefault="00872CBA" w:rsidP="00872CBA">
      <w:pPr>
        <w:spacing w:before="120"/>
        <w:jc w:val="both"/>
        <w:rPr>
          <w:lang w:val="fr-CH"/>
        </w:rPr>
      </w:pPr>
      <w:r>
        <w:rPr>
          <w:lang w:val="fr-CH"/>
        </w:rPr>
        <w:t>Technical Parameters, Legal Limits and Validation Requirements</w:t>
      </w:r>
    </w:p>
    <w:p w:rsidR="00872CBA" w:rsidRPr="00872CBA" w:rsidRDefault="00872CBA" w:rsidP="00872CBA">
      <w:pPr>
        <w:spacing w:before="120"/>
        <w:jc w:val="both"/>
        <w:rPr>
          <w:lang w:val="fr-CH"/>
        </w:rPr>
      </w:pPr>
    </w:p>
    <w:p w:rsidR="00872CBA" w:rsidRPr="00872CBA" w:rsidRDefault="00872CBA" w:rsidP="00872CBA">
      <w:pPr>
        <w:spacing w:before="120"/>
        <w:jc w:val="both"/>
      </w:pPr>
      <w:r>
        <w:t>Giovanni Nardacci</w:t>
      </w:r>
    </w:p>
    <w:p w:rsidR="00872CBA" w:rsidRPr="00872CBA" w:rsidRDefault="00872CBA" w:rsidP="00872CBA">
      <w:pPr>
        <w:spacing w:before="120"/>
        <w:jc w:val="both"/>
      </w:pPr>
      <w:r>
        <w:t>Human Flag Association, Bellinzona, Switzerland — humanflag.org — UNGM Partner No. 6126</w:t>
      </w:r>
    </w:p>
    <w:p w:rsidR="00872CBA" w:rsidRPr="00872CBA" w:rsidRDefault="00872CBA" w:rsidP="00872CBA">
      <w:pPr>
        <w:spacing w:before="120"/>
        <w:jc w:val="both"/>
        <w:rPr>
          <w:lang w:val="fr-CH"/>
        </w:rPr>
      </w:pPr>
      <w:r>
        <w:rPr>
          <w:lang w:val="fr-CH"/>
        </w:rPr>
        <w:t>Working Paper — July 2026 (Version 2, August 2026)</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Abstract. The prohibition on attacking a person who is recognized as hors de combat is a rule of customary international humanitarian law (Rule 47 of the ICRC Customary IHL Study; Article 23(c) of the Hague Regulations of 1907) binding on all parties to an armed conflict irrespective of treaty ratification; for States party to Additional Protocol I, Article 41 provides its clearest treaty formulation, and Article 57 requires those who plan or decide upon an attack to do everything feasible to verify that the attack remains lawful. While these obligations have long been in force, autonomous and semi-autonomous systems operating at machine speed create a practical problem: no commonly specified machine-readable form exists through which an intention to surrender can be communicated to and recognized by such systems.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This paper presents HF SIGNAL 01, a candidate surrender-recognition protocol combining a pulsating white optical signal and a radio-frequency signature, intended as a technical referent for machine-readable expressions of surrender. The paper does not claim operational effectiveness, adoption, or legal status. The protocol is a supplementary means of expressing an intention to surrender, never a condition of protection, and its absence permits no adverse inference. Instead, the paper evaluates the proposal against previously defined feasibility criteria for lawful operational safeguards, including technology readiness, latency, annotated datasets, and independent validation.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assessment is deliberately conservative. HF SIGNAL 01 currently exists as a fully specified and publicly documented concept without experimental validation, implementation, or performance data. Its present contribution is documentary rather than operational. The paper argues that the existence of a publicly available and integrity-protected candidate standard changes the factual context in which surrender-recognition capabilities may be assessed, transforming what was previously described solely as technical impossibility into a documented question of design choice, review, and validation. The paper concludes by inviting independent technical testing, dataset development, and examination within relevant international humanitarian law and autonomous weapons governance fora.</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Keywords: international humanitarian law; autonomous weapons systems; surrender recognition; hors de combat; Article 41 Additional Protocol I; lawful operational safeguards; machine-readable signals; CCW GGE.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1. The Legal Framework and the Executability Gap</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 xml:space="preserve">An earlier paper by this author defined a lawful operational safeguard as a technical measure that implements, within the operational architecture of an AI system, an obligation that already binds under international humanitarian law — as distinct from safeguards that reflect discretionary ethical </w:t>
        <w:lastRenderedPageBreak/>
        <w:t>preference, reputational concern or policy choice. This paper does not restate that framework. It applies it to a single artefact, and it therefore begins with only the anchoring provisions.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underlying obligation to protect persons hors de combat is customary (ICRC Rule 47; Hague Regulations 1907, Art. 23(c)), binding on all parties to an armed conflict. Its clearest treaty formulation, which this paper uses to anchor the technical analysis of machine-recognition, is found in Additional Protocol I:</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1. A person who is recognized or who, in the circumstances, should be recognized to be hors de combat shall not be made the object of attack.</w:t>
      </w:r>
    </w:p>
    <w:p w:rsidR="00872CBA" w:rsidRPr="00872CBA" w:rsidRDefault="00872CBA" w:rsidP="00872CBA">
      <w:pPr>
        <w:spacing w:before="120"/>
        <w:jc w:val="both"/>
        <w:rPr>
          <w:lang w:val="fr-CH"/>
        </w:rPr>
      </w:pPr>
      <w:r>
        <w:rPr>
          <w:lang w:val="fr-CH"/>
        </w:rPr>
        <w:t>2. A person is hors de combat if: (a) he is in the power of an adverse Party; (b) he clearly expresses an intention to surrender; or (c) he has been rendered unconscious or is otherwise incapacitated by wounds or sickness, and therefore is incapable of defending himself; provided that in any of these cases he abstains from any hostile act and does not attempt to escape.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Article 57(2)(a)(i) requires that those who plan or decide upon an attack shall "do everything feasible to verify that the objectives to be attacked are neither civilians nor civilian objects...".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Three features of these provisions carry the whole argument. First, they are in force: both have been treaty law since 1977 (and customary law long before), and neither depends for its validity on any development in weapons technology. Second, they are means-neutral: they attach to the party conducting the attack, whatever instrument it uses. Third, and decisively for present purposes, Article 41(2)(b) presupposes an act of communication. A person is hors de combat under that limb because he "clearly expresses an intention to surrender"; the provision protects an expression, and an expression succeeds only if its addressee can read it. The 1987 ICRC Commentary already recognized that the form of this expression is not fixed: a formal surrender is not always realistically possible, and the intention must be conveyed by whatever means the circumstances allow.</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This is where the gap opens. When the addressee of the expression is a human being, a raised white cloth, raised hands or a discarded weapon can be read within the time a human decision takes. When the addressee is a system that detects, classifies and engages within milliseconds, there is no guarantee that any human-legible gesture is read at all before the engagement decision is executed — and there exists today no shared, machine-readable code that the expression of surrender could take in order to be read at that speed. The result is not a normative gap. The norm is intact. What is missing is the means of performing it. The same structure — an existing obligation resting on an implicit assumption about human reaction time, which a class of machines silently removes — was analysed for civilian machine-safety law in the author's second paper.</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What follows from this is not a new rule, and it is not — yet — a standard. It is an enumeration of principal response pathways. The obligation is unconditional; the available paths by which a party deploying machine-speed systems can perform it include: (1) restoring meaningful human decision time through genuine supervision or doctrinal restriction of autonomy; (2) training machine perception to recognize existing human expressions of surrender through validated behavioural recognition; (3) introducing a shared machine-readable referent — a public, dated, technically specified code that machine perception can be built to read; or (4) restricting the system's targets, environments, speed or modes of operation so that legally protected changes of status remain capable of affecting conduct before irreversible force. These pathways are illustrative and may be combined. A party that remains on none of them is not choosing an alternative; it is not performing.</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HF SIGNAL 01, described in the next Section, is a candidate for the third pathway. It is not presented as the solution, nor as superior to the other paths. It is the first concrete attempt known to the author to specify a machine-readable referent in full technical detail, and it is offered here for scrutiny — including hostile scrutiny — rather than for adoption.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 The Protocol: HF SIGNAL 01 Technical Specification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2.1 Dual-channel architecture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HF SIGNAL 01 is a dual-channel signal. The authoritative specification is the Technical Note of May 2026, which restates the full protocol issued on 24 April 2025 and preserved in an integrity-protected file. Recognition is valid only when both channels are confirmed:</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Optical channel. A pulsating white light (colour code #FFFFFF) at a pulse frequency of 7 Hz, uniform pulse pattern, with a recommended brightness of at least 300 lux at source, a nominal visibility range of 100 m, and infrared compatibility. A 7 Hz periodic signature is deliberately simple: it sits well below the Nyquist limit of ordinary camera frame rates, so that no specialized optics are required to detect it — only software configured to look for it.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Radio channel. A continuous FM tone at 144.0 MHz — within the amateur VHF band — with a bandwidth of 25 kHz and a tone frequency of 1,000 Hz; the specification indicates a detection threshold of −85 dBm and threshold-crossing as the recommended detection method.</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redundancy rule is explicit in the specification ("dual_channel_required"): a system must confirm both the optical and the radio signature before treating the signal as present. The conjunction is the protocol's principal defence against accidental activation. Emission runs in cycles of ten seconds and may be activated manually or automatically.</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Design rationale. The choices embodied in the specification follow from constraints implicit in its purpose. The controlling constraint is on the recognizing side: the signal must be readable by sensor classes already ubiquitous on autonomous platforms — cameras and general-purpose radio receivers. This excludes QR-type visual codes, RFID, Bluetooth, and encrypted transponders. The second constraint is on the emitting side — minimal, cheap, powered hardware — and the third is redundancy across two independent physical channels. Within these constraints, the specific numerical values are fixed by engineering judgment. Their merit at this stage is that they are fixed and therefore testable.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Earlier design iterations of the signal exist in the public history of the Association's repositories. However, as clarified in the accompanying Architecture Note, the protocol comprises two alternative modalities: the active electronic dual-channel specification described in this section, and a passive visual modality (a white disc on a red field). The passive visual modality is a current element of the protocol, not a superseded design stage; it is the modality available to a person who has no powered equipment. The two modalities are alternative expressions of the same protective meaning.</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2.2 Operation in practice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specification does not stop at the physical signature; it defines when the signal is emitted, by whom, and what a recognizing system is expected to do. These operational provisions matter for the legal analysis, because they show the protocol as a complete act of communication rather than a bare waveform.</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Activation. Three activation modes are defined. The first is manual: the person under perceived imminent threat activates the signal deliberately, with a required confirmation step so that emission is a conscious act. The second is proximity-triggered: activation on detection of an autonomous system or unidentified threat within a nominal 50-metre radius, using infrared, visual, motion or RFID sensing on the emitter side. The third is preprogrammed periodic broadcast — at a nominal interval of fifteen minutes — during exposure to known high risk, for instance movement through an area where autonomous or semi-autonomous systems are known to operate. The specification names as intended emitters the human operator, the unarmed drone and the civilian device, and as intended environments the combat zone, the urban conflict area and the automated surveillance area. It also states a condition that deserves emphasis: activation must occur in good faith and under perceived threat. The signal is an expression of protected status, not a general-purpose beacon, and the specification treats it as such.</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Expected response. On the recognition side, the specification defines the expected behaviour of a system that has confirmed both channels: immediate cessation of aggressive behaviour, initiation of a non-hostile identification procedure, and prioritization of the preservation of human life. Two qualifications are required, and the reader should hold both. First, these are specification-side expectations — statements of what compliant recognition logic would do — not descriptions of any implemented behaviour; no system implementing them exists (Section 3). Second, they map directly onto the structure of Article 41: cessation of engagement is the operational form of "shall not be made the object of attack", and a subsequent identification procedure is the operational form of the verification that Article 57(2)(a)(i) requires. The expected-response clause is, in other words, the point at which the technical document and the treaty text meet.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Emitter hardware. The emitter side is deliberately low-technology: a white LED or xenon source capable of a 7 Hz pulse, and a low-power VHF transmitter capable of a continuous 1,000 Hz FM tone at 144.0 MHz. Nothing in the specification requires bespoke equipment, and this is a design choice — a standard that only well-resourced actors could emit would fail its own purpose. It remains true, however, that the protocol presupposes possession of a functioning, powered emitter, and that presupposition is itself a limit of the protocol; it is treated as such in Section 5.</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2.2a Legal classification of activation modes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legal significance of the signal depends on the mode of activation. Manual activation by a person, or by a device acting upon that person's deliberate and contemporaneous instruction, may serve as evidence of an expressed intention to surrender within the meaning of Article 41(2)(b) of Additional Protocol I, provided that the surrounding circumstances confirm the expression is genuine and that the person abstains from hostile acts.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Automatic, proximity-triggered or periodic activation does not by itself establish such an intention and is not characterized by this specification as surrender. It functions only as a precautionary protective alert requiring temporary suspension of engagement, human or system-level verification, and assessment of the surrounding circumstances. Signals originating from unmanned devices likewise do not confer hors de combat status upon an object; they may only communicate on behalf of identifiable persons or trigger a precautionary response.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This distinction is not a defect of the specification but a necessary consequence of the underlying law: a machine-readable signal can express an intention only when a human intention is in fact being expressed. Where it is not, the signal retains its precautionary protective function but does not engage the specific protections attaching to surrender or hors de combat status.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2.3 Direction of the signal: emitter and addressee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structure of surrender involves two distinct roles that are easily conflated: the one who surrenders, and the one who must recognize the surrender. Article 41 places the legal burden on the second role — it is the attacker who must not attack a person who "should be recognized" to be hors de combat. HF SIGNAL 01 addresses the machine instantiation of that second role by giving the first role a code the second can read: the signal is emitted by the protected person in order to be recognized by the system. The direction runs from the protected toward the machine. It is a signal of recognition, not an instrument of targeting.</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Two clarifications follow. First, the signal confers no status by itself. A person is hors de combat because the conditions of Article 41(2) are met, however expressed; HF SIGNAL 01 adds a machine-legible means of expression and is not a source of protection independent of the norm. The design rule that operationalizes this is stated once here and holds throughout: compliant recognition logic treats a confirmed signal as a sufficient condition for an immediate protective response — suspension or inhibition of force, preservation of the signal and relevant sensor data, and verification of the surrounding circumstances — but not, by itself, as conclusive proof of hors de combat status. The signal is never a necessary condition of protection: its absence permits no adverse inference whatsoever, and the full repertoire of human-legible expressions of surrender retains its entire legal force. Any implementation that inverted this — treating non-emission as an indicator of targetability — would violate Article 41, not implement it. Second, HF SIGNAL 01 is not a recognized emblem, sign or signal within the meaning of Article 38 of Additional Protocol I, and this paper claims no such status for it. It is a candidate technical standard, whose legal significance is entirely derivative of the existing obligation it would render performable.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2.4 The ethical clause of the 2025 file: scope and legal nature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integrity-protected specification contains an ethical clause that a careful reader will find and should find. Its "forbidden_use" list includes "military targeting systems" and "weapons", and its declaration states that use of the signal "for military targeting, suppression, deception, or monetization constitutes a violation of international humanitarian ethics". Read in isolation, this could be taken to prohibit precisely what this paper appears to discuss — the processing of the signal by weapon systems. Two things resolve the apparent tension: the direction of use, and the legal nature of such clauses.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prohibition targets offensive instrumentalization of the signal: feigning it in order to invite reliance and then strike; exploiting its emission to locate, identify and engage the emitter; feeding it into an engagement chain as targeting input. In each of these cases the signal is turned against the person it exists to protect. What this paper discusses is the opposite direction: that a system recognize the signal in order to abstain. Recognition-for-abstention does not "use the signal for targeting"; it makes the signal legible, which is its function — in the same way that teaching a soldier to recognize the white flag is not a military use of the white flag. The distinction tracks the two roles identified in Section 2.3: the prohibition protects the one who surrenders; recognition capability is demanded of the one who must recognize.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As to legal nature: the clause belongs to the April 2025 file, which is integrity-protected and therefore cannot be amended, and it reflects the protective intent at the moment of issuance. The Technical Note of May 2026 — the current authoritative statement of the specification — does not restate it. This is not an oversight; it is a clarification of what such a clause can and cannot do. For a signal, a prohibition written by its issuer is declarative, not constitutive: the white flag carries no licence terms, and its protection against abuse derives from the law itself — the prohibition of perfidy and of the improper use of signs and signals — which operates, as Section 5 shows, irrespective of any clause the issuer might attach and irrespective of the signal's status. The 2025 clause therefore adds emphasis, not obligation, and nothing in the analysis of this paper depends on it. For the record, its reading is nonetheless stated plainly: implementing recognition of HF SIGNAL 01 for the purpose of withholding or breaking off engagement is the intended use of the specification; any processing of the signal that contributes to the selection or engagement of the emitter as a target is abuse — condemned by the clause and, where it meets the elements of Article 37, prohibited by law. Separately, and on a different plane altogether, the specification document is distributed under CC BY-NC-ND 4.0, free for humanitarian and civilian use, with institutional use subject to a written licence; this is a sustainability model for the issuing association and has no bearing on the analysis, under international humanitarian law, of recognition of the signal.</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2.5 Precedent within the treaty architecture: distinctive signals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 reader encountering a light-plus-radio protection signal for the first time might take the concept itself to be novel. It is not, and the treaty says so. Additional Protocol I defines, in Article 8(m), the "distinctive signal" — "any signal or message specified for the identification exclusively of medical units or transports" in Chapter III of Annex I to the Protocol — and Article 18(5)–(6) authorizes Parties to use such signals to identify medical units and transports. Annex I, in its amended form, specifies those signals technically: a flashing blue light with a recommended flash rate of between sixty and one hundred flashes per minute, a radiocommunication signal, and electronic means of identification. In other words, the architecture of the Protocol already contains protection-relevant communication in the form of technically specified luminous and radio signatures, designed to be recognized by instruments as much as by eyes, with parameters fixed in a technical annex and maintained over time — Annex I was revised in 1993 precisely to keep the specifications current.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comparison must be drawn with care, because it proves something narrow. HF SIGNAL 01 is not a distinctive signal within Annex I, has no status under it, and borrows none of its protection — consistently with the position already taken on Article 38 in Section 2.3. What the comparison establishes is only this: the kind of object HF SIGNAL 01 proposes to be is a kind the Protocol already knows. A specified pulse frequency for a light and a specified carrier for a radio emission, serving the performability of a protective rule, is not an alien graft onto international humanitarian law; it is the same technique the Conventions' own machinery uses for the medical function, applied here to the expression of surrender at machine speed. Everything the distinctive signals have and HF SIGNAL 01 lacks — State negotiation, treaty authorization, institutional maintenance — is not a defect of the comparison but a description of the distance still to be travelled: it is precisely the gap that the invitation of Section 6 asks the competent institutions to close. And the Annex I precedent shows the institutional path such specifications travel — proposed, technically reviewed, amended, maintained by competent bodies. That is the path to which Section 6 commends this candidate.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pPr>
      <w:r>
        <w:t>3. Feasibility Mapping against the Criteria of Paper I, Section V.A</w:t>
      </w:r>
    </w:p>
    <w:p w:rsidR="00872CBA" w:rsidRPr="00872CBA" w:rsidRDefault="00872CBA" w:rsidP="00872CBA">
      <w:pPr>
        <w:spacing w:before="120"/>
        <w:jc w:val="both"/>
      </w:pPr>
    </w:p>
    <w:p w:rsidR="00872CBA" w:rsidRPr="00872CBA" w:rsidRDefault="00872CBA" w:rsidP="00872CBA">
      <w:pPr>
        <w:spacing w:before="120"/>
        <w:jc w:val="both"/>
        <w:rPr>
          <w:lang w:val="fr-CH"/>
        </w:rPr>
      </w:pPr>
      <w:r>
        <w:t xml:space="preserve">Paper I sets out feasibility criteria that any candidate lawful operational safeguard must eventually satisfy: technology readiness, latency thresholds, annotated datasets and independent validation. </w:t>
      </w:r>
      <w:r>
        <w:rPr>
          <w:lang w:val="fr-CH"/>
        </w:rPr>
        <w:t>A paper that presents a candidate and then exempts it from the author's own criteria would not deserve to be read. This Section therefore states the position of HF SIGNAL 01 against each criterion without adjustment. The summary is in the table; the paragraphs that follow give the reasons.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Criterion (Paper I, §V.A) | What the criterion requires | Status of HF SIGNAL 01 (July 2026)</w:t>
      </w:r>
    </w:p>
    <w:p w:rsidR="00872CBA" w:rsidRPr="00872CBA" w:rsidRDefault="00872CBA" w:rsidP="00872CBA">
      <w:pPr>
        <w:spacing w:before="120"/>
        <w:jc w:val="both"/>
        <w:rPr>
          <w:lang w:val="fr-CH"/>
        </w:rPr>
      </w:pPr>
      <w:r>
        <w:rPr>
          <w:lang w:val="fr-CH"/>
        </w:rPr>
        <w:t>Technology readiness | Demonstrated maturity of the recognition capability, at minimum analytical or experimental proof of concept. | TRL 2. Concept and full parametric specification exist; no proof of concept, no experiment, no measurement.</w:t>
      </w:r>
    </w:p>
    <w:p w:rsidR="00872CBA" w:rsidRPr="00872CBA" w:rsidRDefault="00872CBA" w:rsidP="00872CBA">
      <w:pPr>
        <w:spacing w:before="120"/>
        <w:jc w:val="both"/>
        <w:rPr>
          <w:lang w:val="fr-CH"/>
        </w:rPr>
      </w:pPr>
      <w:r>
        <w:rPr>
          <w:lang w:val="fr-CH"/>
        </w:rPr>
        <w:t>Latency thresholds | Measured detection latency compatible with the engagement timeline of the systems concerned. | No latency measurement exists. None is claimed.</w:t>
      </w:r>
    </w:p>
    <w:p w:rsidR="00872CBA" w:rsidRPr="00872CBA" w:rsidRDefault="00872CBA" w:rsidP="00872CBA">
      <w:pPr>
        <w:spacing w:before="120"/>
        <w:jc w:val="both"/>
        <w:rPr>
          <w:lang w:val="fr-CH"/>
        </w:rPr>
      </w:pPr>
      <w:r>
        <w:rPr>
          <w:lang w:val="fr-CH"/>
        </w:rPr>
        <w:t>Annotated datasets | Curated positive and negative samples across operational conditions, sufficient to train and evaluate detectors. | None exist. The specification's reference to a YOLOv8-class model is a recommendation; no model has been trained.</w:t>
      </w:r>
    </w:p>
    <w:p w:rsidR="00872CBA" w:rsidRPr="00872CBA" w:rsidRDefault="00872CBA" w:rsidP="00872CBA">
      <w:pPr>
        <w:spacing w:before="120"/>
        <w:jc w:val="both"/>
        <w:rPr>
          <w:lang w:val="fr-CH"/>
        </w:rPr>
      </w:pPr>
      <w:r>
        <w:rPr>
          <w:lang w:val="fr-CH"/>
        </w:rPr>
        <w:t>Independent validation | Testing by a party other than the proponent — laboratory, standards body or equivalent. | None has been performed. Deposit and timestamp establish provenance, not validity (Section 4).</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Technology readiness. HF SIGNAL 01 stands at TRL 2: a technology concept formulated. No prototype has been built to the specification, no field or laboratory trial has been run, and no performance figure of any kind has been produced. TRL 3 requires analytical or experimental proof of concept; neither exists, and this paper claims neither. Within that level, one property is worth stating separately: the specification is parametrically complete. Pulse frequency, colour code, brightness, visibility range, carrier frequency, bandwidth, tone frequency, detection threshold and the redundancy rule are all numerically fixed, which makes the protocol directly testable by any third party without further design work. Completeness of specification is a genuine strength at this stage — and it is not evidence of performance.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Latency. The criterion asks whether detection can occur within the decision timeline of the systems concerned. For HF SIGNAL 01 no latency has been measured. Plausibility reasoning is available — a 7 Hz signature is in principle confirmable within a few pulse periods, that is, within several hundred milliseconds of observation, and threshold detection of a continuous tone at −85 dBm is routine practice in software-defined radio — but plausibility is not measurement, and the difference between the two is exactly what independent testing exists to establish. This paper offers no latency claim.</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Annotated datasets. No dataset exists: no corpus of positive and negative optical samples across distance, weather, illumination, motion and occlusion; no library of radio captures across interference and multipath conditions; no adversarial samples. Consequently no detector has been trained, and the false-positive and false-negative rates of the protocol — the numbers on which any deployment argument would ultimately turn — are simply unknown. Dataset construction is the single most consequential open task, because every other criterion depends on it.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Independent validation. None has taken place. No university laboratory, standards organization or other third party has examined the protocol. The documentary apparatus described in Section 4 — deposit, hash, timestamp — establishes that the specification exists, in exactly this form, since a certified date. It establishes nothing about whether the specification works. The two kinds of evidence must not be confused, and this paper does not confuse them.</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Against its own framework, then, HF SIGNAL 01 currently satisfies only the precondition that the framework's criteria presuppose: the existence of a fixed, public, fully specified and therefore testable candidate. Everything else remains to be done. So that "everything else" is not left vague, the validation task can itself be specified.</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What validation would require. For the optical channel: a factorial capture campaign producing positive samples across distance (up to and beyond the nominal 100 m), illumination regimes (daylight, low light, night, infrared), weather, emitter motion and partial occlusion; a negative corpus of confusable periodic light sources — emergency strobes, damaged luminaires, screen flicker, reflections — recorded under the same conditions; and an adversarial set of deliberate imitations. For the radio channel: recordings of the specified tone across urban multipath, co-channel amateur traffic, interference and jamming conditions, together with negative captures of ordinary 144 MHz activity. On this material, a reference detector — built from off-the-shelf components, a standard camera and a software-defined radio, precisely because the specification demands nothing more — would yield the three numbers on which everything turns: a false-positive rate, a false-negative rate, and a time-to-confirmation distribution measured from signal onset, per channel and for the required conjunction of both. The campaign must be preceded by an explicit adversarial model, stating the adversary capabilities assumed — jamming of either channel, replay, synthesis of the radio signature, optical imitation, coordinated decoys — because false-positive and false-negative rates are meaningful only relative to a stated threat, and a validation that omitted the adversary would validate nothing. Replication of those numbers by a party other than the proponent would complete the step from TRL 2 to demonstrated proof of concept. None of this requires the cooperation of any weapons manufacturer or any State: it is ordinary machine-perception research, executable by a single university laboratory, and it is the concrete content of the invitation extended in Section 6.</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One further open issue belongs to any future standardization process rather than to this paper: the protocol's radio channel sits in an allocated amateur band, and the choice deserves to be examined without indulgence. Spectrum regulation differs across jurisdictions; the band carries legitimate traffic and may be congested; and in a conflict zone it may be deliberately jammed or unavailable, while emission by unlicensed persons raises regulatory questions of its own that would require coordination with the competent spectrum authorities. A standardization body would also be the proper forum for deciding whether 144.0 MHz should remain the designated carrier or whether a dedicated protected allocation — the treatment Annex I signals received for the medical function — is warranted; the specification fixes a testable value, it does not foreclose that discussion.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4. Provenance and Documentary Integrity</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chronology of the specification is short and fully documented. The full protocol was completed on 24 April 2025. It was deposited with the Legal Services of the State Council of the Canton of Ticino on 28 April 2025 and published in May 2025 in a public repository. The protocol file is protected by the SHA-256 digest 45bf4cc9ddfdac70e631baf90bee526e7717e54950d8bbee5517b9160ec5a785 and by an OpenTimestamps certification anchoring that digest in the Bitcoin blockchain, so that any reader can verify, without trusting the issuing association, that the file examined today is byte-for-byte the file that existed at the certified date. The Technical Note of May 2026 restates the specification and is its current authoritative expression.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function of this apparatus must be stated precisely, because it is easily overstated. Deposit, hash and timestamp establish two things: intellectual priority — the specification, with these exact parameters, existed publicly from these dates — and non-manipulability — it cannot have been silently altered since. They establish nothing else. In particular, as Section 3 has already said, they are not evidence of technical validity, and they are not presented as such.</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The record is, moreover, verifiable without trusting its author. Any reader can recompute the SHA-256 digest of the protocol file and compare it with the value stated above; any reader can verify the OpenTimestamps proof against the Bitcoin blockchain using freely available open-source tooling; and the cantonal deposit provides an institutional record independent of the association's own infrastructure. Each element of the record was chosen so that it can be placed before a review body, a standardization process or an intergovernmental forum and examined on its own terms, without depending on any assertion by the issuing association.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What documented existence does change is the description of the state of the art. For as long as no candidate standard exists, the absence of surrender recognition in an autonomous system can be characterized as an inherent technical limitation: there was nothing specified to recognize, and the obligation of Article 41, though binding, had no validated, operationally available vehicle at machine speed. Once a candidate standard is publicly available, dated and integrity-protected, that characterization is no longer complete as a description of the facts. Whether to examine the candidate, test it, adopt it, improve it or reject it on stated grounds becomes a decision — one that can be taken well or badly, but that can be documented and reviewed. The existence of a recognizable standard shifts the assessment of non-recognition from unavoidable technical limitation to a choice subject to legal scrutiny. One clarification prevents this point from being overread: a reasoned determination, after examination, that the candidate is technically unsound would itself be the examination this argument contemplates — the record would then show a standard proposed, tested and rejected on stated grounds, and that is a legitimate outcome. What the record precludes is only one assertion: that there was nothing to examine.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Article 36 of Additional Protocol I supplies the established model for this shift. A High Contracting Party studying, developing, acquiring or adopting a new weapon, means or method of warfare "is under an obligation to determine whether its employment would, in some or all circumstances, be prohibited" by the Protocol or by any other applicable rule. The chain from that text to the present argument is short, and every link is in the treaty. Article 36 obliges the reviewing State to determine whether employment would be prohibited; Article 41 prohibits attacking a person who should be recognized to be hors de combat; the capacity of the system under review to recognize is therefore within the subject-matter of the review, not an optional annex to it; and a determination of what is feasible is necessarily made against the state of the art, which includes what is public at the time of the review. Nothing in this chain requires Article 36 to name third-party candidate safeguards, and this paper does not read it as doing so — the treaty text nowhere mentions them, and no such requirement is asserted. The argument is narrower: a review that addresses whether employment would violate Article 41 at machine speed has a defined question before it, and the publicly available material bearing on that question now includes a fully specified candidate means. This paper adds only the fact and its date: from May 2025, and in restated form from May 2026, such a candidate has been publicly available. What follows from that fact, and in which forum, is not for this paper to say.</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5. Limits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This Section states what the protocol does not resolve. The failure modes are those identified generally in Paper I, Section VII, here made concrete for this specification, together with the limit that conditions everything else: adoption is at present voluntary.</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False positives. A 7 Hz white light can occur incidentally — emergency strobes, damaged luminaires, reflections of periodic sources — and 144.0 MHz lies in an allocated amateur band carrying legitimate traffic. The dual-channel conjunction is designed to make coincidence rare, but how rare is an empirical question, and the datasets needed to answer it do not exist. The operational cost of a false positive is an unnecessary abstention; a protocol whose false-positive rate is high would invite exactly the pressure to ignore it that a standard exists to remove. The number matters, and it is currently unknown.</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False negatives. Emission can fail — equipment damage, power loss, terrain masking, jamming — and detection can fail even when emission succeeds. Two consequences must be fixed in the design of any recognition logic. First, the absence of the signal carries no adverse inference: Article 41 protects any person who clearly expresses an intention to surrender by whatever means, and HF SIGNAL 01 adds a machine-legible means without narrowing the class of valid expressions. A system must never be configured to treat non-emission as an indicator of hostility. The protocol is a floor for legibility, not a filter on protection. Second, a detected signal that is subsequently accompanied by hostile acts falls under Article 41's own proviso, which conditions protection on abstention from hostile acts; the protocol changes nothing in that respect.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Adversarial exploitation. The signal can be feigned. Existing law already addresses the gravest form of this. Article 37(1) prohibits killing, injuring or capturing an adversary by resort to perfidy, defined as "[a]cts inviting the confidence of an adversary to lead him to believe that he is entitled to, or is obliged to accord, protection under the rules of international law applicable in armed conflict, with intent to betray that confidence", and lists as its first example "the feigning of an intent to negotiate under a flag of truce or of a surrender". Falsely emitting HF SIGNAL 01 in order to invite reliance and then kill, injure or capture integrates these elements irrespective of the signal's status: the perfidy prohibition attaches to the feigning of surrender as such, whatever code the feigning uses. The protocol therefore creates no new protection and no new vulnerability in perfidy terms — consistently, again, with the method of this paper, which asserts no new obligation. Two precisions are owed. Perfidy stricto sensu requires the result element of killing, injuring or capturing; false emission solely to evade engagement does not meet that definition, although it degrades the reliability of the signal for everyone and may engage other rules on the improper use of signs and signals. And nothing in this analysis assimilates HF SIGNAL 01 to the recognized emblems of Article 38: it is not one, and its misuse is not their misuse. What adversarial pressure ultimately demands is technical: recognition logic robust to spoofing attempts, evaluated on adversarial samples — which returns the question to the datasets and validation that Section 3 records as absent.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Saturation. The operational form of the adversarial problem is broader than perfidy, and it deserves its own name. If recognition-for-abstention became widespread, an adversary would acquire an incentive not merely to feign the signal occasionally but to saturate: to field false emitters in numbers, converting every abstention into cover and every confirmed signal into noise. Deliberate saturation is the adversarial form of the false-positive problem, and it must be said plainly that no signal-based scheme is immune to it — the same tactic exists, and has always existed, against the white flag itself, and the law's response was to criminalize the abuse rather than abandon the signal. The protocol neither solves this nor aggravates it; what it changes is that robustness under saturation becomes a measurable property rather than a speculation — the adversarial model and decoy conditions specified in Section 3 exist precisely to measure it — and the design elements that bound the exposure are already in the specification: the dual-channel conjunction raises the cost of each false emitter above that of a stray light or a bare transmission, the good-faith activation condition marks mass false emission as abuse on the face of the specification, and the Article 41 proviso means that abstention is revocable the moment the supposed surrender is accompanied by hostile acts. Bounded is not eliminated: whether the residual exposure is operationally tolerable is exactly the kind of question that belongs to validation and to the competent fora, not to this paper's assertions.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Equipment dependence. The active electronic modality presupposes that the protected person possesses a functioning, powered emitter at the moment of encounter. The hardware is deliberately minimal, but minimal is not universal: the people most exposed to autonomous systems — displaced civilians, populations under siege, persons fleeing — are precisely those least likely to carry any equipment at all. A machine-readable standard protects only those able to speak it. This is a structural limit of any active signal-based approach. To mitigate this, the protocol's architecture includes a passive visual modality (a white disc on a red field) that requires no power, equipment, or emission (see the accompanying Architecture Note). While this passive modality addresses the equipment-dependence objection for those who have nothing, its machine-perception parameters (chromaticity, minimum size, viewing angle) remain to be specified and validated. The active electronic modality described in this paper remains subject to the equipment-dependence limit stated above. In either case, the protocol can only ever be a floor for legibility, never a filter on protection, and no inference of any kind may be drawn from its absence.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Voluntariness of adoption. No instrument in force today obliges any manufacturer or any State to implement recognition of HF SIGNAL 01, or of any other specific code. Adoption is voluntary, and this paper does not claim otherwise — it could not honestly do so. Its claims end where they began: the underlying obligations exist and have existed since 1977; a candidate means of performing them at machine speed now exists in documented, testable form; and whether the gap between the two is closed — by this specification, by a better one, or by a standard developed in the competent institutions — is a question this paper can open but not decide.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6. Conclusion: An Invitation, Not a Product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This paper has claimed little, deliberately. It has not claimed that HF SIGNAL 01 works: no measurement exists. It has not claimed that anyone must adopt it: no instrument requires that. It has claimed that an obligation in force since 1977 — to recognize the person who clearly expresses an intention to surrender, and to do everything feasible to verify — lacks, in encounters decided at machine speed, a validated, operationally available vehicle of performance; that a candidate vehicle now exists in fully specified, publicly deposited, integrity-protected form; and that from the moment such a candidate exists, the absence of surrender recognition is no longer only a fact about technology but also a fact about decisions.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A final clarification is owed to readers who locate the problem elsewhere — who hold that the real issue is autonomy in targeting as such, and that the answer is stronger human control or prohibition rather than new signals. Nothing in this paper is an argument for autonomous engagement, and nothing in it should be quoted as one. The protocol is not a licence: recognition capability is compatible with, and does not substitute for, requirements of human control, and Section 1 lists the restoration of human decision time as the first of the paths — the one that dissolves the problem this paper addresses. If such systems were prohibited, or confined under supervision that makes the human decision real, the urgency of a machine-readable standard would recede accordingly, and the author would not mourn it. This paper takes no position on that policy question. It addresses the world in which such systems exist and are being deployed — a world in which the absence of any means of expressing surrender to them protects no one, and constrains no one. And to readers who would prefer the argument for a standard without the candidate itself — a methodology for developing a machine-readable surrender standard, rather than a completed proposal — the answer is that a standards process needs an object to work on. Methodologies without artefacts produce committees; artefacts submitted to processes are how standards have historically begun, the distinctive signals of Annex I among them. This paper supplies the object and, in the same act, submits it.</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 xml:space="preserve">The natural next steps do not belong to the author. They are independent technical validation — a university laboratory in machine perception or robotics, or a standardization body, testing the protocol against the criteria of Section 3, beginning with an explicit adversarial model, dataset construction and latency measurement; and examination in the competent fora, in particular the Group of Governmental Experts on Lethal Autonomous Weapons Systems, where the question of machine-readable expression of surrender belongs on the agenda whether or not this specification survives scrutiny. </w:t>
      </w:r>
      <w:r>
        <w:t xml:space="preserve">The specification is offered to be tested, amended or superseded. </w:t>
      </w:r>
      <w:r>
        <w:rPr>
          <w:lang w:val="fr-CH"/>
        </w:rPr>
        <w:t>What should not survive its publication is the claim that there was nothing to recognize.</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References</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Bruun, Laura, Marta Bo and Netta Goussac, Compliance with International Humanitarian Law in the Development and Use of Autonomous Weapon Systems: What does IHL Permit, Prohibit and Require? (SIPRI, March 2023).</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Buchan, Russell, "The Rule of Surrender in International Humanitarian Law", Israel Law Review, Vol. 51, Issue 1 (2018), pp. 3–27.</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Creative Commons, Attribution-NonCommercial-NoDerivatives 4.0 International (CC BY-NC-ND 4.0).</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Group of Governmental Experts on Emerging Technologies in the Area of Lethal Autonomous Weapons Systems, Report of the 2019 session, CCW/GGE.1/2019/3, Annex IV.</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Human Flag Association, HF SIGNAL 01 — Technical Note on AI Safeguards and International Humanitarian Law (May 2026).</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Human Flag Association, HF_SIGNAL_01_SOFTWARE_FULL_EXTENDED.txt (24 April 2025).</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Human Flag Association, HF SIGNAL 01 — Architecture Note (29 July 2026), Zenodo, DOI 10.5281/zenodo.21809826.</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International Committee of the Red Cross, ICRC Position on Autonomous Weapon Systems, 12 May 2021.</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International Court of Justice, Legality of the Threat or Use of Nuclear Weapons, Advisory Opinion, ICJ Reports 1996.</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ISO 16290:2013, Space systems — Definition of the Technology Readiness Levels (TRLs).</w:t>
      </w:r>
    </w:p>
    <w:p w:rsidR="00872CBA" w:rsidRPr="00872CBA" w:rsidRDefault="00872CBA" w:rsidP="00872CBA">
      <w:pPr>
        <w:spacing w:before="120"/>
        <w:jc w:val="both"/>
        <w:rPr>
          <w:lang w:val="fr-CH"/>
        </w:rPr>
      </w:pPr>
    </w:p>
    <w:p w:rsidR="00872CBA" w:rsidRPr="00872CBA" w:rsidRDefault="00872CBA" w:rsidP="00872CBA">
      <w:pPr>
        <w:spacing w:before="120"/>
        <w:jc w:val="both"/>
      </w:pPr>
      <w:r>
        <w:t xml:space="preserve">Nardacci, Giovanni, Lawful Operational Safeguards in AI Systems (Fourth Edition, 2026),</w:t>
      </w:r>
      <w:bookmarkStart w:id="0" w:name="_GoBack"/>
      <w:bookmarkEnd w:id="0"/>
      <w:r>
        <w:t xml:space="preserve"> Zenodo DOI 10.5281/zenodo.21932439.</w:t>
      </w:r>
    </w:p>
    <w:p w:rsidR="00872CBA" w:rsidRPr="00872CBA" w:rsidRDefault="00872CBA" w:rsidP="00872CBA">
      <w:pPr>
        <w:spacing w:before="120"/>
        <w:jc w:val="both"/>
      </w:pPr>
    </w:p>
    <w:p w:rsidR="00872CBA" w:rsidRPr="00872CBA" w:rsidRDefault="00872CBA" w:rsidP="00872CBA">
      <w:pPr>
        <w:spacing w:before="120"/>
        <w:jc w:val="both"/>
      </w:pPr>
      <w:r>
        <w:t>Nardacci, Giovanni, Systemic Arrestability: Operator Protection in Machine Safety Law When Machine Speed Exceeds Human Reaction (2026), Zenodo, DOI 10.5281/zenodo.20837150.</w:t>
      </w:r>
    </w:p>
    <w:p w:rsidR="00872CBA" w:rsidRPr="00872CBA" w:rsidRDefault="00872CBA" w:rsidP="00872CBA">
      <w:pPr>
        <w:spacing w:before="120"/>
        <w:jc w:val="both"/>
      </w:pPr>
    </w:p>
    <w:p w:rsidR="00872CBA" w:rsidRPr="00872CBA" w:rsidRDefault="00872CBA" w:rsidP="00872CBA">
      <w:pPr>
        <w:spacing w:before="120"/>
        <w:jc w:val="both"/>
      </w:pPr>
      <w:r>
        <w:t>Protocol Additional to the Geneva Conventions of 12 August 1949 (Protocol I).</w:t>
      </w:r>
    </w:p>
    <w:p w:rsidR="00872CBA" w:rsidRPr="00872CBA" w:rsidRDefault="00872CBA" w:rsidP="00872CBA">
      <w:pPr>
        <w:spacing w:before="120"/>
        <w:jc w:val="both"/>
      </w:pPr>
    </w:p>
    <w:p w:rsidR="00872CBA" w:rsidRPr="00872CBA" w:rsidRDefault="00872CBA" w:rsidP="00872CBA">
      <w:pPr>
        <w:spacing w:before="120"/>
        <w:jc w:val="both"/>
        <w:rPr>
          <w:lang w:val="fr-CH"/>
        </w:rPr>
      </w:pPr>
      <w:r>
        <w:rPr>
          <w:lang w:val="fr-CH"/>
        </w:rPr>
        <w:t>Sandoz, Yves, Christophe Swinarski and Bruno Zimmermann (eds.), Commentary on the Additional Protocols (ICRC, 1987).</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r>
        <w:rPr>
          <w:lang w:val="fr-CH"/>
        </w:rPr>
        <w:t>Sparrow, Robert, "Twenty Seconds to Comply", International Law Studies, Vol. 91 (2015).</w:t>
      </w:r>
    </w:p>
    <w:p w:rsidR="00872CBA" w:rsidRPr="00872CBA" w:rsidRDefault="00872CBA" w:rsidP="00872CBA">
      <w:pPr>
        <w:spacing w:before="120"/>
        <w:jc w:val="both"/>
        <w:rPr>
          <w:lang w:val="fr-CH"/>
        </w:rPr>
      </w:pPr>
    </w:p>
    <w:p w:rsidR="00872CBA" w:rsidRPr="00872CBA" w:rsidRDefault="00872CBA" w:rsidP="00872CBA">
      <w:pPr>
        <w:spacing w:before="120"/>
        <w:jc w:val="both"/>
        <w:rPr>
          <w:lang w:val="fr-CH"/>
        </w:rPr>
      </w:pPr>
    </w:p>
    <w:p w:rsidR="00872CBA" w:rsidRPr="00E2071B" w:rsidRDefault="00872CBA" w:rsidP="00872CBA">
      <w:pPr>
        <w:spacing w:before="120"/>
        <w:jc w:val="both"/>
        <w:rPr>
          <w:lang w:val="fr-CH"/>
        </w:rPr>
      </w:pPr>
      <w:r>
        <w:rPr>
          <w:lang w:val="fr-CH"/>
        </w:rPr>
        <w:t>Author's note. This working paper is circulated for comment. It is not legal advice. Normative citations have been checked against official sources; readers intending to rely on any provision cited here should verify it independently.</w:t>
      </w:r>
    </w:p>
    <w:sectPr w:rsidR="00872CBA" w:rsidRPr="00E2071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7637" w:rsidRDefault="00357637">
      <w:r>
        <w:separator/>
      </w:r>
    </w:p>
  </w:endnote>
  <w:endnote w:type="continuationSeparator" w:id="0">
    <w:p w:rsidR="00357637" w:rsidRDefault="0035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2EB7" w:rsidRDefault="00881A5F">
    <w:pPr>
      <w:jc w:val="center"/>
    </w:pPr>
    <w:r>
      <w:rPr>
        <w:sz w:val="18"/>
        <w:szCs w:val="18"/>
      </w:rPr>
      <w:fldChar w:fldCharType="begin"/>
    </w:r>
    <w:r>
      <w:rPr>
        <w:sz w:val="18"/>
        <w:szCs w:val="18"/>
      </w:rPr>
      <w:instrText>PAGE</w:instrText>
    </w:r>
    <w:r>
      <w:rPr>
        <w:sz w:val="18"/>
        <w:szCs w:val="18"/>
      </w:rPr>
      <w:fldChar w:fldCharType="separate"/>
    </w:r>
    <w:r w:rsidR="00357637">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7637" w:rsidRDefault="00357637">
      <w:r>
        <w:separator/>
      </w:r>
    </w:p>
  </w:footnote>
  <w:footnote w:type="continuationSeparator" w:id="0">
    <w:p w:rsidR="00357637" w:rsidRDefault="003576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75AC1"/>
    <w:multiLevelType w:val="multilevel"/>
    <w:tmpl w:val="ED0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52481"/>
    <w:multiLevelType w:val="hybridMultilevel"/>
    <w:tmpl w:val="3E049A30"/>
    <w:lvl w:ilvl="0" w:tplc="BE7292A6">
      <w:start w:val="1"/>
      <w:numFmt w:val="bullet"/>
      <w:lvlText w:val="●"/>
      <w:lvlJc w:val="left"/>
      <w:pPr>
        <w:ind w:left="720" w:hanging="360"/>
      </w:pPr>
    </w:lvl>
    <w:lvl w:ilvl="1" w:tplc="55808C36">
      <w:start w:val="1"/>
      <w:numFmt w:val="bullet"/>
      <w:lvlText w:val="○"/>
      <w:lvlJc w:val="left"/>
      <w:pPr>
        <w:ind w:left="1440" w:hanging="360"/>
      </w:pPr>
    </w:lvl>
    <w:lvl w:ilvl="2" w:tplc="95E64262">
      <w:start w:val="1"/>
      <w:numFmt w:val="bullet"/>
      <w:lvlText w:val="■"/>
      <w:lvlJc w:val="left"/>
      <w:pPr>
        <w:ind w:left="2160" w:hanging="360"/>
      </w:pPr>
    </w:lvl>
    <w:lvl w:ilvl="3" w:tplc="381AC672">
      <w:start w:val="1"/>
      <w:numFmt w:val="bullet"/>
      <w:lvlText w:val="●"/>
      <w:lvlJc w:val="left"/>
      <w:pPr>
        <w:ind w:left="2880" w:hanging="360"/>
      </w:pPr>
    </w:lvl>
    <w:lvl w:ilvl="4" w:tplc="7B90C380">
      <w:start w:val="1"/>
      <w:numFmt w:val="bullet"/>
      <w:lvlText w:val="○"/>
      <w:lvlJc w:val="left"/>
      <w:pPr>
        <w:ind w:left="3600" w:hanging="360"/>
      </w:pPr>
    </w:lvl>
    <w:lvl w:ilvl="5" w:tplc="7F401E92">
      <w:start w:val="1"/>
      <w:numFmt w:val="bullet"/>
      <w:lvlText w:val="■"/>
      <w:lvlJc w:val="left"/>
      <w:pPr>
        <w:ind w:left="4320" w:hanging="360"/>
      </w:pPr>
    </w:lvl>
    <w:lvl w:ilvl="6" w:tplc="1E1A3BB4">
      <w:start w:val="1"/>
      <w:numFmt w:val="bullet"/>
      <w:lvlText w:val="●"/>
      <w:lvlJc w:val="left"/>
      <w:pPr>
        <w:ind w:left="5040" w:hanging="360"/>
      </w:pPr>
    </w:lvl>
    <w:lvl w:ilvl="7" w:tplc="B7D4DE58">
      <w:start w:val="1"/>
      <w:numFmt w:val="bullet"/>
      <w:lvlText w:val="●"/>
      <w:lvlJc w:val="left"/>
      <w:pPr>
        <w:ind w:left="5760" w:hanging="360"/>
      </w:pPr>
    </w:lvl>
    <w:lvl w:ilvl="8" w:tplc="87FE86D0">
      <w:start w:val="1"/>
      <w:numFmt w:val="bullet"/>
      <w:lvlText w:val="●"/>
      <w:lvlJc w:val="left"/>
      <w:pPr>
        <w:ind w:left="6480" w:hanging="360"/>
      </w:pPr>
    </w:lvl>
  </w:abstractNum>
  <w:abstractNum w:abstractNumId="2" w15:restartNumberingAfterBreak="0">
    <w:nsid w:val="58C70330"/>
    <w:multiLevelType w:val="multilevel"/>
    <w:tmpl w:val="CF36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hideSpellingErrors/>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EB7"/>
    <w:rsid w:val="00357637"/>
    <w:rsid w:val="00872CBA"/>
    <w:rsid w:val="00881A5F"/>
    <w:rsid w:val="00B971BC"/>
    <w:rsid w:val="00D62EB7"/>
    <w:rsid w:val="00E2071B"/>
    <w:rsid w:val="00F01F4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A2AFF6-E86B-4B83-9E32-D735036C0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it-CH" w:eastAsia="it-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spacing w:before="360" w:after="200"/>
      <w:outlineLvl w:val="0"/>
    </w:pPr>
    <w:rPr>
      <w:b/>
      <w:bCs/>
      <w:color w:val="000000"/>
      <w:sz w:val="26"/>
      <w:szCs w:val="26"/>
    </w:rPr>
  </w:style>
  <w:style w:type="paragraph" w:styleId="Titolo2">
    <w:name w:val="heading 2"/>
    <w:qFormat/>
    <w:pPr>
      <w:spacing w:before="280" w:after="160"/>
      <w:outlineLvl w:val="1"/>
    </w:pPr>
    <w:rPr>
      <w:b/>
      <w:bCs/>
      <w:color w:val="000000"/>
      <w:sz w:val="23"/>
      <w:szCs w:val="23"/>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customStyle="1" w:styleId="qwen-markdown-text">
    <w:name w:val="qwen-markdown-text"/>
    <w:basedOn w:val="Carpredefinitoparagrafo"/>
    <w:rsid w:val="00E20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460799">
      <w:bodyDiv w:val="1"/>
      <w:marLeft w:val="0"/>
      <w:marRight w:val="0"/>
      <w:marTop w:val="0"/>
      <w:marBottom w:val="0"/>
      <w:divBdr>
        <w:top w:val="none" w:sz="0" w:space="0" w:color="auto"/>
        <w:left w:val="none" w:sz="0" w:space="0" w:color="auto"/>
        <w:bottom w:val="none" w:sz="0" w:space="0" w:color="auto"/>
        <w:right w:val="none" w:sz="0" w:space="0" w:color="auto"/>
      </w:divBdr>
      <w:divsChild>
        <w:div w:id="846481026">
          <w:marLeft w:val="0"/>
          <w:marRight w:val="0"/>
          <w:marTop w:val="0"/>
          <w:marBottom w:val="0"/>
          <w:divBdr>
            <w:top w:val="single" w:sz="2" w:space="0" w:color="E3E3E3"/>
            <w:left w:val="single" w:sz="2" w:space="0" w:color="E3E3E3"/>
            <w:bottom w:val="single" w:sz="2" w:space="0" w:color="E3E3E3"/>
            <w:right w:val="single" w:sz="2" w:space="0" w:color="E3E3E3"/>
          </w:divBdr>
        </w:div>
        <w:div w:id="45109746">
          <w:marLeft w:val="0"/>
          <w:marRight w:val="0"/>
          <w:marTop w:val="0"/>
          <w:marBottom w:val="0"/>
          <w:divBdr>
            <w:top w:val="single" w:sz="2" w:space="0" w:color="E3E3E3"/>
            <w:left w:val="single" w:sz="2" w:space="0" w:color="E3E3E3"/>
            <w:bottom w:val="single" w:sz="2" w:space="0" w:color="E3E3E3"/>
            <w:right w:val="single" w:sz="2" w:space="0" w:color="E3E3E3"/>
          </w:divBdr>
        </w:div>
        <w:div w:id="1461149546">
          <w:marLeft w:val="0"/>
          <w:marRight w:val="0"/>
          <w:marTop w:val="0"/>
          <w:marBottom w:val="0"/>
          <w:divBdr>
            <w:top w:val="single" w:sz="2" w:space="0" w:color="E3E3E3"/>
            <w:left w:val="single" w:sz="2" w:space="0" w:color="E3E3E3"/>
            <w:bottom w:val="single" w:sz="2" w:space="0" w:color="E3E3E3"/>
            <w:right w:val="single" w:sz="2" w:space="0" w:color="E3E3E3"/>
          </w:divBdr>
        </w:div>
        <w:div w:id="2055890109">
          <w:marLeft w:val="0"/>
          <w:marRight w:val="0"/>
          <w:marTop w:val="0"/>
          <w:marBottom w:val="0"/>
          <w:divBdr>
            <w:top w:val="single" w:sz="2" w:space="0" w:color="E3E3E3"/>
            <w:left w:val="single" w:sz="2" w:space="0" w:color="E3E3E3"/>
            <w:bottom w:val="single" w:sz="2" w:space="0" w:color="E3E3E3"/>
            <w:right w:val="single" w:sz="2" w:space="0" w:color="E3E3E3"/>
          </w:divBdr>
        </w:div>
        <w:div w:id="1222982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5324263">
      <w:bodyDiv w:val="1"/>
      <w:marLeft w:val="0"/>
      <w:marRight w:val="0"/>
      <w:marTop w:val="0"/>
      <w:marBottom w:val="0"/>
      <w:divBdr>
        <w:top w:val="none" w:sz="0" w:space="0" w:color="auto"/>
        <w:left w:val="none" w:sz="0" w:space="0" w:color="auto"/>
        <w:bottom w:val="none" w:sz="0" w:space="0" w:color="auto"/>
        <w:right w:val="none" w:sz="0" w:space="0" w:color="auto"/>
      </w:divBdr>
      <w:divsChild>
        <w:div w:id="2056467421">
          <w:marLeft w:val="0"/>
          <w:marRight w:val="0"/>
          <w:marTop w:val="0"/>
          <w:marBottom w:val="0"/>
          <w:divBdr>
            <w:top w:val="single" w:sz="2" w:space="0" w:color="E3E3E3"/>
            <w:left w:val="single" w:sz="2" w:space="0" w:color="E3E3E3"/>
            <w:bottom w:val="single" w:sz="2" w:space="0" w:color="E3E3E3"/>
            <w:right w:val="single" w:sz="2" w:space="0" w:color="E3E3E3"/>
          </w:divBdr>
        </w:div>
        <w:div w:id="1165121181">
          <w:marLeft w:val="0"/>
          <w:marRight w:val="0"/>
          <w:marTop w:val="0"/>
          <w:marBottom w:val="0"/>
          <w:divBdr>
            <w:top w:val="single" w:sz="2" w:space="0" w:color="E3E3E3"/>
            <w:left w:val="single" w:sz="2" w:space="0" w:color="E3E3E3"/>
            <w:bottom w:val="single" w:sz="2" w:space="0" w:color="E3E3E3"/>
            <w:right w:val="single" w:sz="2" w:space="0" w:color="E3E3E3"/>
          </w:divBdr>
        </w:div>
        <w:div w:id="1119840182">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
        <w:div w:id="1626809760">
          <w:marLeft w:val="0"/>
          <w:marRight w:val="0"/>
          <w:marTop w:val="0"/>
          <w:marBottom w:val="0"/>
          <w:divBdr>
            <w:top w:val="single" w:sz="2" w:space="0" w:color="E3E3E3"/>
            <w:left w:val="single" w:sz="2" w:space="0" w:color="E3E3E3"/>
            <w:bottom w:val="single" w:sz="2" w:space="0" w:color="E3E3E3"/>
            <w:right w:val="single" w:sz="2" w:space="0" w:color="E3E3E3"/>
          </w:divBdr>
        </w:div>
        <w:div w:id="130100920">
          <w:marLeft w:val="0"/>
          <w:marRight w:val="0"/>
          <w:marTop w:val="0"/>
          <w:marBottom w:val="0"/>
          <w:divBdr>
            <w:top w:val="single" w:sz="2" w:space="0" w:color="E3E3E3"/>
            <w:left w:val="single" w:sz="2" w:space="0" w:color="E3E3E3"/>
            <w:bottom w:val="single" w:sz="2" w:space="0" w:color="E3E3E3"/>
            <w:right w:val="single" w:sz="2" w:space="0" w:color="E3E3E3"/>
          </w:divBdr>
        </w:div>
        <w:div w:id="1773090330">
          <w:marLeft w:val="0"/>
          <w:marRight w:val="0"/>
          <w:marTop w:val="0"/>
          <w:marBottom w:val="0"/>
          <w:divBdr>
            <w:top w:val="single" w:sz="2" w:space="0" w:color="E3E3E3"/>
            <w:left w:val="single" w:sz="2" w:space="0" w:color="E3E3E3"/>
            <w:bottom w:val="single" w:sz="2" w:space="0" w:color="E3E3E3"/>
            <w:right w:val="single" w:sz="2" w:space="0" w:color="E3E3E3"/>
          </w:divBdr>
        </w:div>
        <w:div w:id="409892449">
          <w:marLeft w:val="0"/>
          <w:marRight w:val="0"/>
          <w:marTop w:val="0"/>
          <w:marBottom w:val="0"/>
          <w:divBdr>
            <w:top w:val="single" w:sz="2" w:space="0" w:color="E3E3E3"/>
            <w:left w:val="single" w:sz="2" w:space="0" w:color="E3E3E3"/>
            <w:bottom w:val="single" w:sz="2" w:space="0" w:color="E3E3E3"/>
            <w:right w:val="single" w:sz="2" w:space="0" w:color="E3E3E3"/>
          </w:divBdr>
        </w:div>
        <w:div w:id="2145543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596207">
      <w:bodyDiv w:val="1"/>
      <w:marLeft w:val="0"/>
      <w:marRight w:val="0"/>
      <w:marTop w:val="0"/>
      <w:marBottom w:val="0"/>
      <w:divBdr>
        <w:top w:val="none" w:sz="0" w:space="0" w:color="auto"/>
        <w:left w:val="none" w:sz="0" w:space="0" w:color="auto"/>
        <w:bottom w:val="none" w:sz="0" w:space="0" w:color="auto"/>
        <w:right w:val="none" w:sz="0" w:space="0" w:color="auto"/>
      </w:divBdr>
      <w:divsChild>
        <w:div w:id="557590755">
          <w:marLeft w:val="0"/>
          <w:marRight w:val="0"/>
          <w:marTop w:val="0"/>
          <w:marBottom w:val="0"/>
          <w:divBdr>
            <w:top w:val="single" w:sz="2" w:space="0" w:color="E3E3E3"/>
            <w:left w:val="single" w:sz="2" w:space="0" w:color="E3E3E3"/>
            <w:bottom w:val="single" w:sz="2" w:space="0" w:color="E3E3E3"/>
            <w:right w:val="single" w:sz="2" w:space="0" w:color="E3E3E3"/>
          </w:divBdr>
        </w:div>
        <w:div w:id="2020547076">
          <w:marLeft w:val="0"/>
          <w:marRight w:val="0"/>
          <w:marTop w:val="0"/>
          <w:marBottom w:val="0"/>
          <w:divBdr>
            <w:top w:val="single" w:sz="2" w:space="0" w:color="E3E3E3"/>
            <w:left w:val="single" w:sz="2" w:space="0" w:color="E3E3E3"/>
            <w:bottom w:val="single" w:sz="2" w:space="0" w:color="E3E3E3"/>
            <w:right w:val="single" w:sz="2" w:space="0" w:color="E3E3E3"/>
          </w:divBdr>
        </w:div>
        <w:div w:id="357464258">
          <w:marLeft w:val="0"/>
          <w:marRight w:val="0"/>
          <w:marTop w:val="0"/>
          <w:marBottom w:val="0"/>
          <w:divBdr>
            <w:top w:val="single" w:sz="2" w:space="0" w:color="E3E3E3"/>
            <w:left w:val="single" w:sz="2" w:space="0" w:color="E3E3E3"/>
            <w:bottom w:val="single" w:sz="2" w:space="0" w:color="E3E3E3"/>
            <w:right w:val="single" w:sz="2" w:space="0" w:color="E3E3E3"/>
          </w:divBdr>
        </w:div>
        <w:div w:id="1561357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6896</Words>
  <Characters>39309</Characters>
  <Application>Microsoft Office Word</Application>
  <DocSecurity>0</DocSecurity>
  <Lines>327</Lines>
  <Paragraphs>92</Paragraphs>
  <ScaleCrop>false</ScaleCrop>
  <Company>.</Company>
  <LinksUpToDate>false</LinksUpToDate>
  <CharactersWithSpaces>46113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 SIGNAL 01: A Technical Specification for Surrender Recognition as a Compliance-Relevant Safeguard under Article 41 of Additional Protocol I</dc:title>
  <dc:creator>Giovanni Nardacci — Human Flag Association</dc:creator>
  <cp:lastModifiedBy>.</cp:lastModifiedBy>
  <cp:revision>4</cp:revision>
  <dcterms:created xsi:type="dcterms:W3CDTF">2026-07-03T23:00:00Z</dcterms:created>
  <dcterms:modified xsi:type="dcterms:W3CDTF">2026-08-17T13:37:00Z</dcterms:modified>
</cp:coreProperties>
</file>