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72D2" w:rsidRDefault="002572D2" w:rsidP="00593386">
      <w:pPr>
        <w:rPr>
          <w:b/>
          <w:bCs/>
        </w:rPr>
      </w:pPr>
    </w:p>
    <w:p w:rsidR="00295E58" w:rsidRPr="00295E58" w:rsidRDefault="00295E58" w:rsidP="00295E58">
      <w:pPr>
        <w:rPr>
          <w:b/>
          <w:bCs/>
        </w:rPr>
      </w:pPr>
      <w:r>
        <w:rPr>
          <w:b/>
          <w:bCs/>
        </w:rPr>
        <w:t>SECOND SESSION OF THE 2026 GROUP OF GOVERNMENTAL EXPERTS ON EMERGING TECHNOLOGIES IN THE AREA OF LETHAL AUTONOMOUS WEAPONS SYSTEMS</w:t>
      </w:r>
    </w:p>
    <w:p w:rsidR="00295E58" w:rsidRPr="00295E58" w:rsidRDefault="00295E58" w:rsidP="00295E58">
      <w:pPr>
        <w:rPr>
          <w:b/>
          <w:bCs/>
        </w:rPr>
      </w:pPr>
      <w:r>
        <w:rPr>
          <w:b/>
          <w:bCs/>
        </w:rPr>
        <w:t>Geneva, 31 August - 4 September 2026</w:t>
      </w:r>
    </w:p>
    <w:p w:rsidR="00295E58" w:rsidRPr="00295E58" w:rsidRDefault="00295E58" w:rsidP="00295E58">
      <w:pPr>
        <w:rPr>
          <w:b/>
          <w:bCs/>
        </w:rPr>
      </w:pPr>
      <w:r>
        <w:rPr>
          <w:b/>
          <w:bCs/>
        </w:rPr>
        <w:t>Working Paper by Human Flag Association</w:t>
      </w:r>
    </w:p>
    <w:p w:rsidR="00295E58" w:rsidRPr="00295E58" w:rsidRDefault="00295E58" w:rsidP="00295E58">
      <w:pPr>
        <w:rPr>
          <w:b/>
          <w:bCs/>
        </w:rPr>
      </w:pPr>
      <w:r>
        <w:rPr>
          <w:b/>
          <w:bCs/>
        </w:rPr>
        <w:t>Bellinzona, Switzerland - UNGM Partner No. 6126 - humanflag.org - August 2026</w:t>
      </w:r>
    </w:p>
    <w:p w:rsidR="00295E58" w:rsidRPr="00295E58" w:rsidRDefault="00295E58" w:rsidP="00295E58">
      <w:pPr>
        <w:rPr>
          <w:b/>
          <w:bCs/>
        </w:rPr>
      </w:pPr>
    </w:p>
    <w:p w:rsidR="00295E58" w:rsidRPr="00295E58" w:rsidRDefault="00295E58" w:rsidP="00295E58">
      <w:pPr>
        <w:rPr>
          <w:b/>
          <w:bCs/>
        </w:rPr>
      </w:pPr>
      <w:r>
        <w:rPr>
          <w:b/>
          <w:bCs/>
        </w:rPr>
        <w:t>The Recognition Window</w:t>
      </w:r>
    </w:p>
    <w:p w:rsidR="00295E58" w:rsidRPr="00295E58" w:rsidRDefault="00295E58" w:rsidP="00295E58">
      <w:pPr>
        <w:rPr>
          <w:b/>
          <w:bCs/>
        </w:rPr>
      </w:pPr>
      <w:r>
        <w:rPr>
          <w:b/>
          <w:bCs/>
        </w:rPr>
        <w:t>Preserving the Practical Effect of the Prohibition on Attacking Persons Hors de Combat</w:t>
      </w:r>
    </w:p>
    <w:p w:rsidR="00295E58" w:rsidRPr="00295E58" w:rsidRDefault="00295E58" w:rsidP="00295E58">
      <w:pPr>
        <w:rPr>
          <w:b/>
          <w:bCs/>
        </w:rPr>
      </w:pPr>
    </w:p>
    <w:p w:rsidR="00295E58" w:rsidRPr="00295E58" w:rsidRDefault="00295E58" w:rsidP="00295E58">
      <w:pPr>
        <w:rPr>
          <w:b/>
          <w:bCs/>
        </w:rPr>
      </w:pPr>
      <w:r>
        <w:rPr>
          <w:b/>
          <w:bCs/>
        </w:rPr>
        <w:t xml:space="preserve">Core proposition. </w:t>
      </w:r>
    </w:p>
    <w:p w:rsidR="00295E58" w:rsidRPr="00295E58" w:rsidRDefault="00295E58" w:rsidP="00295E58">
      <w:pPr>
        <w:rPr>
          <w:b/>
          <w:bCs/>
        </w:rPr>
      </w:pPr>
      <w:r>
        <w:rPr>
          <w:b/>
          <w:bCs/>
        </w:rPr>
        <w:t xml:space="preserve">Customary international humanitarian law prohibits attacks against persons recognized as hors de combat. The ICRC Customary IHL Study formulates this prohibition in Rule 47; its historical treaty root includes Article 23(c) of the 1907 Hague Regulations, which prohibits killing or wounding an enemy who, having laid down arms or having no means of defence, has surrendered. For States party to Additional Protocol I, Article 41 expressly protects a person who is recognized, or in the circumstances should be recognized, as hors de combat. The applicable legal bases differ, but they converge on a common operational question: whether legally relevant circumstances can be detected and acted upon before force becomes irreversible.</w:t>
      </w:r>
    </w:p>
    <w:p w:rsidR="00295E58" w:rsidRPr="00295E58" w:rsidRDefault="00295E58" w:rsidP="00295E58">
      <w:pPr>
        <w:rPr>
          <w:b/>
          <w:bCs/>
        </w:rPr>
      </w:pPr>
    </w:p>
    <w:p w:rsidR="00295E58" w:rsidRPr="00295E58" w:rsidRDefault="00295E58" w:rsidP="00295E58">
      <w:pPr>
        <w:rPr>
          <w:b/>
          <w:bCs/>
        </w:rPr>
      </w:pPr>
      <w:r>
        <w:rPr>
          <w:b/>
          <w:bCs/>
        </w:rPr>
        <w:t>This paper does not assert a general obligation to offer every lawful target an opportunity to surrender before attack. Its proposition is narrower: where an engagement process remains responsive to changes in the target or environment, and surrender or other hors de combat status may foreseeably arise or become reasonably perceptible during that process, the system's design must not prevent those legally relevant circumstances from affecting the continuation of force.</w:t>
      </w:r>
    </w:p>
    <w:p w:rsidR="00295E58" w:rsidRPr="00295E58" w:rsidRDefault="00295E58" w:rsidP="00295E58">
      <w:pPr>
        <w:rPr>
          <w:b/>
          <w:bCs/>
        </w:rPr>
      </w:pPr>
    </w:p>
    <w:p w:rsidR="00295E58" w:rsidRPr="00295E58" w:rsidRDefault="00295E58" w:rsidP="00295E58">
      <w:pPr>
        <w:rPr>
          <w:b/>
          <w:bCs/>
        </w:rPr>
      </w:pPr>
      <w:r>
        <w:rPr>
          <w:b/>
          <w:bCs/>
        </w:rPr>
        <w:t xml:space="preserve">Where there is no time, the signs are never recognized, and the obligation is not violated - because the condition for its violation has been structurally foreclosed. That foreclosure is not a circumstance encountered in the field. It is established in advance, by design. Whether a system preserves that interval is measurable, and a weapons review - under whichever national or treaty procedure applies - that has not examined the question has not completed its determination.</w:t>
      </w:r>
    </w:p>
    <w:p w:rsidR="00295E58" w:rsidRPr="00295E58" w:rsidRDefault="00295E58" w:rsidP="00295E58">
      <w:pPr>
        <w:rPr>
          <w:b/>
          <w:bCs/>
        </w:rPr>
      </w:pPr>
    </w:p>
    <w:p w:rsidR="00295E58" w:rsidRPr="00295E58" w:rsidRDefault="00295E58" w:rsidP="00295E58">
      <w:pPr>
        <w:rPr>
          <w:b/>
          <w:bCs/>
        </w:rPr>
      </w:pPr>
      <w:r>
        <w:rPr>
          <w:b/>
          <w:bCs/>
        </w:rPr>
        <w:t>I. The legal problem</w:t>
      </w:r>
    </w:p>
    <w:p w:rsidR="00295E58" w:rsidRPr="00295E58" w:rsidRDefault="00295E58" w:rsidP="00295E58">
      <w:pPr>
        <w:rPr>
          <w:b/>
          <w:bCs/>
        </w:rPr>
      </w:pPr>
    </w:p>
    <w:p w:rsidR="00295E58" w:rsidRPr="00295E58" w:rsidRDefault="00295E58" w:rsidP="00295E58">
      <w:pPr>
        <w:rPr>
          <w:b/>
          <w:bCs/>
        </w:rPr>
      </w:pPr>
      <w:r>
        <w:rPr>
          <w:b/>
          <w:bCs/>
        </w:rPr>
        <w:t xml:space="preserve">The starting point of this paper is a rule no delegation disputes. Attacking a person who is recognized as hors de combat - including a person who has clearly expressed an intention to surrender - is prohibited under customary international humanitarian law, binding on all parties to an armed conflict irrespective of treaty ratification (ICRC Customary IHL Study, Rule 47). Its lineage is long: Article 23(c) of the Hague Regulations of 1907 already forbade killing or wounding an enemy who, having laid down arms or no longer possessing means of defence, has surrendered at discretion. This paper rests on that rule alone.</w:t>
      </w:r>
    </w:p>
    <w:p w:rsidR="00295E58" w:rsidRPr="00295E58" w:rsidRDefault="00295E58" w:rsidP="00295E58">
      <w:pPr>
        <w:rPr>
          <w:b/>
          <w:bCs/>
        </w:rPr>
      </w:pPr>
    </w:p>
    <w:p w:rsidR="00295E58" w:rsidRPr="00295E58" w:rsidRDefault="00295E58" w:rsidP="00295E58">
      <w:pPr>
        <w:rPr>
          <w:b/>
          <w:bCs/>
        </w:rPr>
      </w:pPr>
      <w:r>
        <w:rPr>
          <w:b/>
          <w:bCs/>
        </w:rPr>
        <w:t xml:space="preserve">The rule operates upon recognition. It is engaged when a person is recognized to be hors de combat, and recognition depends on a practical sequence: an </w:t>
        <w:lastRenderedPageBreak/>
        <w:t xml:space="preserve">intention must be expressed, it must be perceived, and it must be acted upon before force is applied. Each step consumes time, and the sequence therefore has a minimum duration below which it cannot be completed at all.</w:t>
      </w:r>
    </w:p>
    <w:p w:rsidR="00295E58" w:rsidRPr="00295E58" w:rsidRDefault="00295E58" w:rsidP="00295E58">
      <w:pPr>
        <w:rPr>
          <w:b/>
          <w:bCs/>
        </w:rPr>
      </w:pPr>
    </w:p>
    <w:p w:rsidR="00295E58" w:rsidRPr="00295E58" w:rsidRDefault="00295E58" w:rsidP="00295E58">
      <w:pPr>
        <w:rPr>
          <w:b/>
          <w:bCs/>
        </w:rPr>
      </w:pPr>
      <w:r>
        <w:rPr>
          <w:b/>
          <w:bCs/>
        </w:rPr>
        <w:t xml:space="preserve">Systems that detect, classify and engage at machine speed may compress an engagement below that minimum duration. Where they do, the difficulty is not that a surrender signal was given and missed. It is that no meaningful opportunity to give one existed, and that no recognition could therefore occur. The prohibition remains applicable, but the operational process may prevent the legally relevant facts from affecting conduct before the point of irreversibility.</w:t>
      </w:r>
    </w:p>
    <w:p w:rsidR="00295E58" w:rsidRPr="00295E58" w:rsidRDefault="00295E58" w:rsidP="00295E58">
      <w:pPr>
        <w:rPr>
          <w:b/>
          <w:bCs/>
        </w:rPr>
      </w:pPr>
    </w:p>
    <w:p w:rsidR="00295E58" w:rsidRPr="00295E58" w:rsidRDefault="00295E58" w:rsidP="00295E58">
      <w:pPr>
        <w:rPr>
          <w:b/>
          <w:bCs/>
        </w:rPr>
      </w:pPr>
      <w:r>
        <w:rPr>
          <w:b/>
          <w:bCs/>
        </w:rPr>
        <w:t>II. The recognition window</w:t>
      </w:r>
    </w:p>
    <w:p w:rsidR="00295E58" w:rsidRPr="00295E58" w:rsidRDefault="00295E58" w:rsidP="00295E58">
      <w:pPr>
        <w:rPr>
          <w:b/>
          <w:bCs/>
        </w:rPr>
      </w:pPr>
    </w:p>
    <w:p w:rsidR="00295E58" w:rsidRPr="00295E58" w:rsidRDefault="00295E58" w:rsidP="00295E58">
      <w:pPr>
        <w:rPr>
          <w:b/>
          <w:bCs/>
        </w:rPr>
      </w:pPr>
      <w:r>
        <w:rPr>
          <w:b/>
          <w:bCs/>
        </w:rPr>
        <w:t xml:space="preserve">Human Flag Association proposes the concept of a recognition window: the minimum interval required for an intention to surrender to be expressed, detected, assessed and translated into the withholding of attack, before the use of force becomes irreversible.</w:t>
      </w:r>
    </w:p>
    <w:p w:rsidR="00295E58" w:rsidRPr="00295E58" w:rsidRDefault="00295E58" w:rsidP="00295E58">
      <w:pPr>
        <w:rPr>
          <w:b/>
          <w:bCs/>
        </w:rPr>
      </w:pPr>
    </w:p>
    <w:p w:rsidR="00295E58" w:rsidRPr="00295E58" w:rsidRDefault="00295E58" w:rsidP="00295E58">
      <w:pPr>
        <w:rPr>
          <w:b/>
          <w:bCs/>
        </w:rPr>
      </w:pPr>
      <w:r>
        <w:rPr>
          <w:b/>
          <w:bCs/>
        </w:rPr>
        <w:t>1. There is no universal number. The adequate window depends on the environment, distance, closing speed, sensors, visibility, human reaction time and communications latency.</w:t>
      </w:r>
    </w:p>
    <w:p w:rsidR="00295E58" w:rsidRPr="00295E58" w:rsidRDefault="00295E58" w:rsidP="00295E58">
      <w:pPr>
        <w:rPr>
          <w:b/>
          <w:bCs/>
        </w:rPr>
      </w:pPr>
      <w:r>
        <w:rPr>
          <w:b/>
          <w:bCs/>
        </w:rPr>
        <w:t xml:space="preserve">2. The window is nevertheless measurable. The end-to-end interval a system affords, under stated conditions, can be determined, tested and recorded.</w:t>
      </w:r>
    </w:p>
    <w:p w:rsidR="00295E58" w:rsidRPr="00295E58" w:rsidRDefault="00295E58" w:rsidP="00295E58">
      <w:pPr>
        <w:rPr>
          <w:b/>
          <w:bCs/>
        </w:rPr>
      </w:pPr>
      <w:r>
        <w:rPr>
          <w:b/>
          <w:bCs/>
        </w:rPr>
        <w:t xml:space="preserve">3. For systems whose behaviour is not stable over their operational life, the interval is a distribution rather than a single value, and re-verification follows material change.</w:t>
      </w:r>
    </w:p>
    <w:p w:rsidR="00295E58" w:rsidRPr="00295E58" w:rsidRDefault="00295E58" w:rsidP="00295E58">
      <w:pPr>
        <w:rPr>
          <w:b/>
          <w:bCs/>
        </w:rPr>
      </w:pPr>
      <w:r>
        <w:rPr>
          <w:b/>
          <w:bCs/>
        </w:rPr>
        <w:t xml:space="preserve">4. The window is not necessarily bounded by the last human authorisation. Where a system continues to determine elements of the engagement after that point - tracking, re-acquisition, adjustment of trajectory, response to a change in the situation - the interval that matters extends into that phase.</w:t>
      </w:r>
    </w:p>
    <w:p w:rsidR="00295E58" w:rsidRPr="00295E58" w:rsidRDefault="00295E58" w:rsidP="00295E58">
      <w:pPr>
        <w:rPr>
          <w:b/>
          <w:bCs/>
        </w:rPr>
      </w:pPr>
      <w:r>
        <w:rPr>
          <w:b/>
          <w:bCs/>
        </w:rPr>
        <w:t xml:space="preserve">5. The window should therefore be treated as a design and review parameter, not as an optional humanitarian feature.</w:t>
      </w:r>
    </w:p>
    <w:p w:rsidR="00295E58" w:rsidRPr="00295E58" w:rsidRDefault="00295E58" w:rsidP="00295E58">
      <w:pPr>
        <w:rPr>
          <w:b/>
          <w:bCs/>
        </w:rPr>
      </w:pPr>
    </w:p>
    <w:p w:rsidR="00295E58" w:rsidRPr="00295E58" w:rsidRDefault="00295E58" w:rsidP="00295E58">
      <w:pPr>
        <w:rPr>
          <w:b/>
          <w:bCs/>
        </w:rPr>
      </w:pPr>
      <w:r>
        <w:rPr>
          <w:b/>
          <w:bCs/>
        </w:rPr>
        <w:t xml:space="preserve">An interval of this kind is already treated as a design parameter within military system-safety practice. Under MIL-STD-882E, whether software exercising authority over safety-significant functions leaves time for predetermined safe detection and intervention is the criterion that separates a semi-autonomous control category from an autonomous one, and that classification determines the level of analytical rigour required and the authority at which residual risk must be accepted. The standard does not prohibit building a system that leaves no such interval. It requires that the choice be classified, analysed and accepted at a named level of authority. The relevance is evidential: such frameworks protect the deploying force, not an adversary, and they create no humanitarian obligation.</w:t>
      </w:r>
    </w:p>
    <w:p w:rsidR="00295E58" w:rsidRPr="00295E58" w:rsidRDefault="00295E58" w:rsidP="00295E58">
      <w:pPr>
        <w:rPr>
          <w:b/>
          <w:bCs/>
        </w:rPr>
      </w:pPr>
    </w:p>
    <w:p w:rsidR="00295E58" w:rsidRPr="00295E58" w:rsidRDefault="00295E58" w:rsidP="00295E58">
      <w:pPr>
        <w:rPr>
          <w:b/>
          <w:bCs/>
        </w:rPr>
      </w:pPr>
      <w:r>
        <w:rPr>
          <w:b/>
          <w:bCs/>
        </w:rPr>
        <w:t xml:space="preserve">It follows that the formal classification of a system does not settle the question. What matters is not whether a system is designated autonomous or semi-autonomous, but up to what moment a legally relevant change can still be recognised and still alter the outcome of the engagement.</w:t>
      </w:r>
    </w:p>
    <w:p w:rsidR="00295E58" w:rsidRPr="00295E58" w:rsidRDefault="00295E58" w:rsidP="00295E58">
      <w:pPr>
        <w:rPr>
          <w:b/>
          <w:bCs/>
        </w:rPr>
      </w:pPr>
    </w:p>
    <w:p w:rsidR="00295E58" w:rsidRPr="00295E58" w:rsidRDefault="00295E58" w:rsidP="00295E58">
      <w:pPr>
        <w:rPr>
          <w:b/>
          <w:bCs/>
        </w:rPr>
      </w:pPr>
      <w:r>
        <w:rPr>
          <w:b/>
          <w:bCs/>
        </w:rPr>
        <w:t xml:space="preserve">Nor is the structure confined to military practice. The same temporal relation is documented in civil machine-safety law, on independent legal anchors, in G. Nardacci, Systemic Arrestability (10.5281/zenodo.20837150). The relevance is structural and evidential: that analysis is confined to civil and dual-use machinery, and no normative inference is drawn from it to the rules governing armed conflict.</w:t>
      </w:r>
    </w:p>
    <w:p w:rsidR="00295E58" w:rsidRPr="00295E58" w:rsidRDefault="00295E58" w:rsidP="00295E58">
      <w:pPr>
        <w:rPr>
          <w:b/>
          <w:bCs/>
        </w:rPr>
      </w:pPr>
    </w:p>
    <w:p w:rsidR="00295E58" w:rsidRPr="00295E58" w:rsidRDefault="00295E58" w:rsidP="00295E58">
      <w:pPr>
        <w:rPr>
          <w:b/>
          <w:bCs/>
        </w:rPr>
      </w:pPr>
      <w:r>
        <w:rPr>
          <w:b/>
          <w:bCs/>
        </w:rPr>
        <w:t>III. Relevance to weapons review</w:t>
      </w:r>
    </w:p>
    <w:p w:rsidR="00295E58" w:rsidRPr="00295E58" w:rsidRDefault="00295E58" w:rsidP="00295E58">
      <w:pPr>
        <w:rPr>
          <w:b/>
          <w:bCs/>
        </w:rPr>
      </w:pPr>
    </w:p>
    <w:p w:rsidR="00295E58" w:rsidRPr="00295E58" w:rsidRDefault="00295E58" w:rsidP="00295E58">
      <w:pPr>
        <w:rPr>
          <w:b/>
          <w:bCs/>
        </w:rPr>
      </w:pPr>
      <w:r>
        <w:rPr>
          <w:b/>
          <w:bCs/>
        </w:rPr>
        <w:t xml:space="preserve">Every State remains responsible for ensuring that the weapons, means and methods of warfare it employs comply with the international law applicable to it. The name of the procedure, its legal basis, and the authority at which residual risk is accepted differ from State to State. For States party to Additional Protocol I, the procedure is codified in Article 36. For the United States, it is conducted under DoD Directive 3000.09 and the Law of War Manual, supported by the system-safety framework of MIL-STD-882E. For the United Kingdom, it is conducted under the Ambitious, Safe, Responsible doctrine and national weapons-review policy. For other States, it arises under national procurement standards or military directives.</w:t>
      </w:r>
    </w:p>
    <w:p w:rsidR="00295E58" w:rsidRPr="00295E58" w:rsidRDefault="00295E58" w:rsidP="00295E58">
      <w:pPr>
        <w:rPr>
          <w:b/>
          <w:bCs/>
        </w:rPr>
      </w:pPr>
    </w:p>
    <w:p w:rsidR="00295E58" w:rsidRPr="00295E58" w:rsidRDefault="00295E58" w:rsidP="00295E58">
      <w:pPr>
        <w:rPr>
          <w:b/>
          <w:bCs/>
        </w:rPr>
      </w:pPr>
      <w:r>
        <w:rPr>
          <w:b/>
          <w:bCs/>
        </w:rPr>
        <w:t xml:space="preserve">The obligation whose performance is at stake here is customary and binds every deploying State. The procedure in which the question arises differs in name, but the question itself does not change: whether the system's foreseeable normal use complies with the rules of armed conflict, including the prohibition on attacking persons hors de combat. Where a person may become hors de combat during the engagement cycle, a review that has not examined whether the system preserves the practical possibility of recognition has not completed its determination, whatever the procedure is called.</w:t>
      </w:r>
    </w:p>
    <w:p w:rsidR="00295E58" w:rsidRPr="00295E58" w:rsidRDefault="00295E58" w:rsidP="00295E58">
      <w:pPr>
        <w:rPr>
          <w:b/>
          <w:bCs/>
        </w:rPr>
      </w:pPr>
    </w:p>
    <w:p w:rsidR="00295E58" w:rsidRPr="00295E58" w:rsidRDefault="00295E58" w:rsidP="00295E58">
      <w:pPr>
        <w:rPr>
          <w:b/>
          <w:bCs/>
        </w:rPr>
      </w:pPr>
      <w:r>
        <w:rPr>
          <w:b/>
          <w:bCs/>
        </w:rPr>
        <w:t>Article 36 does not prescribe a temporal test. It prescribes the determination. Where a person may become hors de combat during the engagement cycle, however, that determination is not complete unless the review has examined whether the system preserves the practical possibility of compliance.</w:t>
      </w:r>
    </w:p>
    <w:p w:rsidR="00295E58" w:rsidRPr="00295E58" w:rsidRDefault="00295E58" w:rsidP="00295E58">
      <w:pPr>
        <w:rPr>
          <w:b/>
          <w:bCs/>
        </w:rPr>
      </w:pPr>
    </w:p>
    <w:p w:rsidR="00295E58" w:rsidRPr="00295E58" w:rsidRDefault="00295E58" w:rsidP="00295E58">
      <w:pPr>
        <w:rPr>
          <w:b/>
          <w:bCs/>
        </w:rPr>
      </w:pPr>
      <w:r>
        <w:rPr>
          <w:b/>
          <w:bCs/>
        </w:rPr>
        <w:t xml:space="preserve">The proposition that surrender-recognition capability is a question weapons review is already required to ask, rather than a new requirement placed upon it, is developed in G. Nardacci, Lawful Operational Safeguards in AI Systems (10.5281/zenodo.21932439).</w:t>
      </w:r>
    </w:p>
    <w:p w:rsidR="00295E58" w:rsidRPr="00295E58" w:rsidRDefault="00295E58" w:rsidP="00295E58">
      <w:pPr>
        <w:rPr>
          <w:b/>
          <w:bCs/>
        </w:rPr>
      </w:pPr>
    </w:p>
    <w:p w:rsidR="00295E58" w:rsidRPr="00295E58" w:rsidRDefault="00295E58" w:rsidP="00295E58">
      <w:pPr>
        <w:rPr>
          <w:b/>
          <w:bCs/>
        </w:rPr>
      </w:pPr>
      <w:r>
        <w:rPr>
          <w:b/>
          <w:bCs/>
        </w:rPr>
        <w:t>A review conducted on that basis, under whichever procedure applies, should examine at least:</w:t>
      </w:r>
    </w:p>
    <w:p w:rsidR="00295E58" w:rsidRPr="00295E58" w:rsidRDefault="00295E58" w:rsidP="00295E58">
      <w:pPr>
        <w:rPr>
          <w:b/>
          <w:bCs/>
        </w:rPr>
      </w:pPr>
      <w:r>
        <w:rPr>
          <w:b/>
          <w:bCs/>
        </w:rPr>
        <w:t xml:space="preserve">1. the end-to-end time between target classification and irreversible engagement, and how it is measured and recorded;</w:t>
      </w:r>
    </w:p>
    <w:p w:rsidR="00295E58" w:rsidRPr="00295E58" w:rsidRDefault="00295E58" w:rsidP="00295E58">
      <w:pPr>
        <w:rPr>
          <w:b/>
          <w:bCs/>
        </w:rPr>
      </w:pPr>
      <w:r>
        <w:rPr>
          <w:b/>
          <w:bCs/>
        </w:rPr>
        <w:t xml:space="preserve">2. the surrender-related behaviours and signals the system is able to detect;</w:t>
      </w:r>
    </w:p>
    <w:p w:rsidR="00295E58" w:rsidRPr="00295E58" w:rsidRDefault="00295E58" w:rsidP="00295E58">
      <w:pPr>
        <w:rPr>
          <w:b/>
          <w:bCs/>
        </w:rPr>
      </w:pPr>
      <w:r>
        <w:rPr>
          <w:b/>
          <w:bCs/>
        </w:rPr>
        <w:t xml:space="preserve">3. the treatment of ambiguity or of loss of classification confidence;</w:t>
      </w:r>
    </w:p>
    <w:p w:rsidR="00295E58" w:rsidRPr="00295E58" w:rsidRDefault="00295E58" w:rsidP="00295E58">
      <w:pPr>
        <w:rPr>
          <w:b/>
          <w:bCs/>
        </w:rPr>
      </w:pPr>
      <w:r>
        <w:rPr>
          <w:b/>
          <w:bCs/>
        </w:rPr>
        <w:t xml:space="preserve">4. the availability and speed of human intervention, and whether that intervention is structural rather than a downstream formality;</w:t>
      </w:r>
    </w:p>
    <w:p w:rsidR="00295E58" w:rsidRPr="00295E58" w:rsidRDefault="00295E58" w:rsidP="00295E58">
      <w:pPr>
        <w:rPr>
          <w:b/>
          <w:bCs/>
        </w:rPr>
      </w:pPr>
      <w:r>
        <w:rPr>
          <w:b/>
          <w:bCs/>
        </w:rPr>
        <w:t xml:space="preserve">5. what the system continues to determine on its own after the last human decision, and whether the interval extends into that phase;</w:t>
      </w:r>
    </w:p>
    <w:p w:rsidR="00295E58" w:rsidRPr="00295E58" w:rsidRDefault="00295E58" w:rsidP="00295E58">
      <w:pPr>
        <w:rPr>
          <w:b/>
          <w:bCs/>
        </w:rPr>
      </w:pPr>
      <w:r>
        <w:rPr>
          <w:b/>
          <w:bCs/>
        </w:rPr>
        <w:t xml:space="preserve">6. the testing evidence under realistic operational conditions, including degraded ones.</w:t>
      </w:r>
    </w:p>
    <w:p w:rsidR="00295E58" w:rsidRPr="00295E58" w:rsidRDefault="00295E58" w:rsidP="00295E58">
      <w:pPr>
        <w:rPr>
          <w:b/>
          <w:bCs/>
        </w:rPr>
      </w:pPr>
    </w:p>
    <w:p w:rsidR="00295E58" w:rsidRPr="00295E58" w:rsidRDefault="00295E58" w:rsidP="00295E58">
      <w:pPr>
        <w:rPr>
          <w:b/>
          <w:bCs/>
        </w:rPr>
      </w:pPr>
      <w:r>
        <w:rPr>
          <w:b/>
          <w:bCs/>
        </w:rPr>
        <w:t>IV. Operational safeguards</w:t>
      </w:r>
    </w:p>
    <w:p w:rsidR="00295E58" w:rsidRPr="00295E58" w:rsidRDefault="00295E58" w:rsidP="00295E58">
      <w:pPr>
        <w:rPr>
          <w:b/>
          <w:bCs/>
        </w:rPr>
      </w:pPr>
    </w:p>
    <w:p w:rsidR="00295E58" w:rsidRPr="00295E58" w:rsidRDefault="00295E58" w:rsidP="00295E58">
      <w:pPr>
        <w:rPr>
          <w:b/>
          <w:bCs/>
        </w:rPr>
      </w:pPr>
      <w:r>
        <w:rPr>
          <w:b/>
          <w:bCs/>
        </w:rPr>
        <w:t xml:space="preserve">The recognition window can be preserved through measures already familiar to system safety practice. Among them:</w:t>
      </w:r>
    </w:p>
    <w:p w:rsidR="00295E58" w:rsidRPr="00295E58" w:rsidRDefault="00295E58" w:rsidP="00295E58">
      <w:pPr>
        <w:rPr>
          <w:b/>
          <w:bCs/>
        </w:rPr>
      </w:pPr>
      <w:r>
        <w:rPr>
          <w:b/>
          <w:bCs/>
        </w:rPr>
        <w:t xml:space="preserve">1. engagement logic that accommodates surrender-related conduct where surrender is reasonably foreseeable;</w:t>
      </w:r>
    </w:p>
    <w:p w:rsidR="00295E58" w:rsidRPr="00295E58" w:rsidRDefault="00295E58" w:rsidP="00295E58">
      <w:pPr>
        <w:rPr>
          <w:b/>
          <w:bCs/>
        </w:rPr>
      </w:pPr>
      <w:r>
        <w:rPr>
          <w:b/>
          <w:bCs/>
        </w:rPr>
        <w:t xml:space="preserve">2. detection of multiple ordinary indicators of surrender, rather than reliance on a single standardized signal;</w:t>
      </w:r>
    </w:p>
    <w:p w:rsidR="00295E58" w:rsidRPr="00295E58" w:rsidRDefault="00295E58" w:rsidP="00295E58">
      <w:pPr>
        <w:rPr>
          <w:b/>
          <w:bCs/>
        </w:rPr>
      </w:pPr>
      <w:r>
        <w:rPr>
          <w:b/>
          <w:bCs/>
        </w:rPr>
        <w:t xml:space="preserve">3. automatic suspension, cancellation or referral to human judgment when surrender-related conduct is detected or confidence is insufficient;</w:t>
      </w:r>
    </w:p>
    <w:p w:rsidR="00295E58" w:rsidRPr="00295E58" w:rsidRDefault="00295E58" w:rsidP="00295E58">
      <w:pPr>
        <w:rPr>
          <w:b/>
          <w:bCs/>
        </w:rPr>
      </w:pPr>
      <w:r>
        <w:rPr>
          <w:b/>
          <w:bCs/>
        </w:rPr>
        <w:t xml:space="preserve">4. realistic testing across lighting, distance, posture, clothing, disability, language and communications conditions;</w:t>
      </w:r>
    </w:p>
    <w:p w:rsidR="00295E58" w:rsidRPr="00295E58" w:rsidRDefault="00295E58" w:rsidP="00295E58">
      <w:pPr>
        <w:rPr>
          <w:b/>
          <w:bCs/>
        </w:rPr>
      </w:pPr>
      <w:r>
        <w:rPr>
          <w:b/>
          <w:bCs/>
        </w:rPr>
        <w:t xml:space="preserve">5. audit records permitting later verification of what was detected and on what basis force was authorized.</w:t>
      </w:r>
    </w:p>
    <w:p w:rsidR="00295E58" w:rsidRPr="00295E58" w:rsidRDefault="00295E58" w:rsidP="00295E58">
      <w:pPr>
        <w:rPr>
          <w:b/>
          <w:bCs/>
        </w:rPr>
      </w:pPr>
    </w:p>
    <w:p w:rsidR="00295E58" w:rsidRPr="00295E58" w:rsidRDefault="00295E58" w:rsidP="00295E58">
      <w:pPr>
        <w:rPr>
          <w:b/>
          <w:bCs/>
        </w:rPr>
      </w:pPr>
      <w:r>
        <w:rPr>
          <w:b/>
          <w:bCs/>
        </w:rPr>
        <w:t xml:space="preserve">One caution applies to every measure that depends upon an arrest, suspension or referral pathway. A stop path may exist formally and be defeated in operation: a co-deployed system may interfere with the arrest of another, leaving human intervention nominally in place but structurally nullified. This failure mode is set out in G. Nardacci, Third-Party Interference with Shutdown Mechanisms (HFA Technical Note HFA-TN-01, 2026, 10.5281/zenodo.21223989). It is the reason the availability of intervention must be established by testing rather than by design description.</w:t>
      </w:r>
    </w:p>
    <w:p w:rsidR="00295E58" w:rsidRPr="00295E58" w:rsidRDefault="00295E58" w:rsidP="00295E58">
      <w:pPr>
        <w:rPr>
          <w:b/>
          <w:bCs/>
        </w:rPr>
      </w:pPr>
    </w:p>
    <w:p w:rsidR="00295E58" w:rsidRPr="00295E58" w:rsidRDefault="00295E58" w:rsidP="00295E58">
      <w:pPr>
        <w:rPr>
          <w:b/>
          <w:bCs/>
        </w:rPr>
      </w:pPr>
      <w:r>
        <w:rPr>
          <w:b/>
          <w:bCs/>
        </w:rPr>
        <w:t xml:space="preserve">None of these is proposed as a required architecture. A State may satisfy the same underlying question through operational restriction, mission exclusion, genuine human supervision or another design altogether. What the review must be able to establish is that the possibility of compliance has not been foreclosed in advance.</w:t>
      </w:r>
    </w:p>
    <w:p w:rsidR="00295E58" w:rsidRPr="00295E58" w:rsidRDefault="00295E58" w:rsidP="00295E58">
      <w:pPr>
        <w:rPr>
          <w:b/>
          <w:bCs/>
        </w:rPr>
      </w:pPr>
    </w:p>
    <w:p w:rsidR="00295E58" w:rsidRPr="00295E58" w:rsidRDefault="00295E58" w:rsidP="00295E58">
      <w:pPr>
        <w:rPr>
          <w:b/>
          <w:bCs/>
        </w:rPr>
      </w:pPr>
      <w:r>
        <w:rPr>
          <w:b/>
          <w:bCs/>
        </w:rPr>
        <w:t>V. Interoperable recognition specifications</w:t>
      </w:r>
    </w:p>
    <w:p w:rsidR="00295E58" w:rsidRPr="00295E58" w:rsidRDefault="00295E58" w:rsidP="00295E58">
      <w:pPr>
        <w:rPr>
          <w:b/>
          <w:bCs/>
        </w:rPr>
      </w:pPr>
    </w:p>
    <w:p w:rsidR="00295E58" w:rsidRPr="00295E58" w:rsidRDefault="00295E58" w:rsidP="00295E58">
      <w:pPr>
        <w:rPr>
          <w:b/>
          <w:bCs/>
        </w:rPr>
      </w:pPr>
      <w:r>
        <w:rPr>
          <w:b/>
          <w:bCs/>
        </w:rPr>
        <w:t xml:space="preserve">A public, interoperable and verifiable specification can supplement - without replacing - the ordinary manifestations of surrender, offering a machine-readable channel alongside the human-readable ones (raised hands, discarded weapons, verbal expression) that have served recognition for over a century. Human Flag Association has developed HF SIGNAL 01 as one possible machine-readable specification of this kind. It is a candidate offered for independent testing: it has no adoption, no legal status and no operational validation, and the Association asks that it be examined and, if it fails, rejected on stated grounds.</w:t>
      </w:r>
    </w:p>
    <w:p w:rsidR="00295E58" w:rsidRPr="00295E58" w:rsidRDefault="00295E58" w:rsidP="00295E58">
      <w:pPr>
        <w:rPr>
          <w:b/>
          <w:bCs/>
        </w:rPr>
      </w:pPr>
    </w:p>
    <w:p w:rsidR="00295E58" w:rsidRPr="00295E58" w:rsidRDefault="00295E58" w:rsidP="00295E58">
      <w:pPr>
        <w:rPr>
          <w:b/>
          <w:bCs/>
        </w:rPr>
      </w:pPr>
      <w:r>
        <w:rPr>
          <w:b/>
          <w:bCs/>
        </w:rPr>
        <w:t>A reasoned rejection is a legitimate outcome, and the specification remains open to amendment or to replacement by a better one. What a rejection cannot do is dispose of the underlying question. A State that declines a candidate signal still operates systems that afford some interval, and that interval remains to be stated. Rejecting a means is not an answer to the question of time.</w:t>
      </w:r>
    </w:p>
    <w:p w:rsidR="00295E58" w:rsidRPr="00295E58" w:rsidRDefault="00295E58" w:rsidP="00295E58">
      <w:pPr>
        <w:rPr>
          <w:b/>
          <w:bCs/>
        </w:rPr>
      </w:pPr>
    </w:p>
    <w:p w:rsidR="00295E58" w:rsidRPr="00295E58" w:rsidRDefault="00295E58" w:rsidP="00295E58">
      <w:pPr>
        <w:rPr>
          <w:b/>
          <w:bCs/>
        </w:rPr>
      </w:pPr>
      <w:r>
        <w:rPr>
          <w:b/>
          <w:bCs/>
        </w:rPr>
        <w:t xml:space="preserve">Any such specification must operate as an additional means of expressing an intention to surrender, never as a condition of protection. The absence of such a signal permits no adverse inference: a person who does not emit it retains the full protection of customary law, and its non-emission is not an indicator of targetability.</w:t>
      </w:r>
    </w:p>
    <w:p w:rsidR="00295E58" w:rsidRPr="00295E58" w:rsidRDefault="00295E58" w:rsidP="00295E58">
      <w:pPr>
        <w:rPr>
          <w:b/>
          <w:bCs/>
        </w:rPr>
      </w:pPr>
    </w:p>
    <w:p w:rsidR="00295E58" w:rsidRPr="00295E58" w:rsidRDefault="00295E58" w:rsidP="00295E58">
      <w:pPr>
        <w:rPr>
          <w:b/>
          <w:bCs/>
        </w:rPr>
      </w:pPr>
      <w:r>
        <w:rPr>
          <w:b/>
          <w:bCs/>
        </w:rPr>
        <w:t>VI. Recommendations to the Group</w:t>
      </w:r>
    </w:p>
    <w:p w:rsidR="00295E58" w:rsidRPr="00295E58" w:rsidRDefault="00295E58" w:rsidP="00295E58">
      <w:pPr>
        <w:rPr>
          <w:b/>
          <w:bCs/>
        </w:rPr>
      </w:pPr>
    </w:p>
    <w:p w:rsidR="00295E58" w:rsidRPr="00295E58" w:rsidRDefault="00295E58" w:rsidP="00295E58">
      <w:pPr>
        <w:rPr>
          <w:b/>
          <w:bCs/>
        </w:rPr>
      </w:pPr>
      <w:r>
        <w:rPr>
          <w:b/>
          <w:bCs/>
        </w:rPr>
        <w:t>Human Flag Association respectfully invites the Group of Governmental Experts to:</w:t>
      </w:r>
    </w:p>
    <w:p w:rsidR="00295E58" w:rsidRPr="00295E58" w:rsidRDefault="00295E58" w:rsidP="00295E58">
      <w:pPr>
        <w:rPr>
          <w:b/>
          <w:bCs/>
        </w:rPr>
      </w:pPr>
      <w:r>
        <w:rPr>
          <w:b/>
          <w:bCs/>
        </w:rPr>
        <w:t xml:space="preserve">1. recognize that excessive temporal compression can deprive of practical effect the protection owed to persons expressing an intention to surrender;</w:t>
      </w:r>
    </w:p>
    <w:p w:rsidR="00295E58" w:rsidRPr="00295E58" w:rsidRDefault="00295E58" w:rsidP="00295E58">
      <w:pPr>
        <w:rPr>
          <w:b/>
          <w:bCs/>
        </w:rPr>
      </w:pPr>
      <w:r>
        <w:rPr>
          <w:b/>
          <w:bCs/>
        </w:rPr>
        <w:t>2. encourage States to assess the recognition window explicitly in weapons review - under whichever national or treaty procedure applies - including the determination and recording of the end-to-end interval a system affords;</w:t>
      </w:r>
    </w:p>
    <w:p w:rsidR="00295E58" w:rsidRPr="00295E58" w:rsidRDefault="00295E58" w:rsidP="00295E58">
      <w:pPr>
        <w:rPr>
          <w:b/>
          <w:bCs/>
        </w:rPr>
      </w:pPr>
      <w:r>
        <w:rPr>
          <w:b/>
          <w:bCs/>
        </w:rPr>
        <w:t xml:space="preserve">3. encourage design measures that pause, cancel or refer an engagement when surrender-related conduct is detected or reasonably suspected;</w:t>
      </w:r>
    </w:p>
    <w:p w:rsidR="00295E58" w:rsidRPr="00295E58" w:rsidRDefault="00295E58" w:rsidP="00295E58">
      <w:pPr>
        <w:rPr>
          <w:b/>
          <w:bCs/>
        </w:rPr>
      </w:pPr>
      <w:r>
        <w:rPr>
          <w:b/>
          <w:bCs/>
        </w:rPr>
        <w:t>4. support transparent testing methods and open technical work on recognition, while preserving every existing means by which surrender may be expressed;</w:t>
      </w:r>
    </w:p>
    <w:p w:rsidR="00295E58" w:rsidRPr="00295E58" w:rsidRDefault="00295E58" w:rsidP="00295E58">
      <w:pPr>
        <w:rPr>
          <w:b/>
          <w:bCs/>
        </w:rPr>
      </w:pPr>
      <w:r>
        <w:rPr>
          <w:b/>
          <w:bCs/>
        </w:rPr>
        <w:t xml:space="preserve">5. affirm that operational speed must not be used to render compliance with international humanitarian law practically impossible.</w:t>
      </w:r>
    </w:p>
    <w:p w:rsidR="00295E58" w:rsidRPr="00295E58" w:rsidRDefault="00295E58" w:rsidP="00295E58">
      <w:pPr>
        <w:rPr>
          <w:b/>
          <w:bCs/>
        </w:rPr>
      </w:pPr>
    </w:p>
    <w:p w:rsidR="00295E58" w:rsidRPr="00295E58" w:rsidRDefault="00295E58" w:rsidP="00295E58">
      <w:pPr>
        <w:rPr>
          <w:b/>
          <w:bCs/>
        </w:rPr>
      </w:pPr>
      <w:r>
        <w:rPr>
          <w:b/>
          <w:bCs/>
        </w:rPr>
        <w:t>Conclusion</w:t>
      </w:r>
    </w:p>
    <w:p w:rsidR="00295E58" w:rsidRPr="00295E58" w:rsidRDefault="00295E58" w:rsidP="00295E58">
      <w:pPr>
        <w:rPr>
          <w:b/>
          <w:bCs/>
        </w:rPr>
      </w:pPr>
    </w:p>
    <w:p w:rsidR="00295E58" w:rsidRPr="00295E58" w:rsidRDefault="00295E58" w:rsidP="00295E58">
      <w:pPr>
        <w:rPr>
          <w:b/>
          <w:bCs/>
        </w:rPr>
      </w:pPr>
      <w:r>
        <w:rPr>
          <w:b/>
          <w:bCs/>
        </w:rPr>
        <w:t xml:space="preserve">The law does not need to be rewritten. Its existing protections must remain executable. No one can be required to do the impossible - ad impossibilia nemo tenetur - but the maxim does not resolve the present question where the relevant impossibility results from a system configuration chosen by the deploying State and where lawful alternatives include design safeguards, operational restriction or non-use in the affected environment. An impossibility established at the design stage is not a circumstance encountered. It is a decision taken, and a decision can be examined.</w:t>
      </w:r>
    </w:p>
    <w:p w:rsidR="00295E58" w:rsidRPr="00295E58" w:rsidRDefault="00295E58" w:rsidP="00295E58">
      <w:pPr>
        <w:rPr>
          <w:b/>
          <w:bCs/>
        </w:rPr>
      </w:pPr>
    </w:p>
    <w:p w:rsidR="00295E58" w:rsidRPr="00295E58" w:rsidRDefault="00295E58" w:rsidP="00295E58">
      <w:pPr>
        <w:rPr>
          <w:b/>
          <w:bCs/>
        </w:rPr>
      </w:pPr>
      <w:r>
        <w:rPr>
          <w:b/>
          <w:bCs/>
        </w:rPr>
        <w:t>Preserving a recognition window is one concrete way of ensuring that autonomous functions do not deprive a person of the practical possibility of surrendering, and do not deprive the prohibition binding on every party to an armed conflict of its intended effect.</w:t>
      </w:r>
    </w:p>
    <w:p w:rsidR="00295E58" w:rsidRPr="00295E58" w:rsidRDefault="00295E58" w:rsidP="00295E58">
      <w:pPr>
        <w:rPr>
          <w:b/>
          <w:bCs/>
        </w:rPr>
      </w:pPr>
    </w:p>
    <w:p w:rsidR="00295E58" w:rsidRPr="00295E58" w:rsidRDefault="00295E58" w:rsidP="00295E58">
      <w:pPr>
        <w:rPr>
          <w:b/>
          <w:bCs/>
        </w:rPr>
      </w:pPr>
      <w:r>
        <w:rPr>
          <w:b/>
          <w:bCs/>
        </w:rPr>
        <w:t>Legal references</w:t>
      </w:r>
    </w:p>
    <w:p w:rsidR="00295E58" w:rsidRPr="00295E58" w:rsidRDefault="00295E58" w:rsidP="00295E58">
      <w:pPr>
        <w:rPr>
          <w:b/>
          <w:bCs/>
        </w:rPr>
      </w:pPr>
    </w:p>
    <w:p w:rsidR="00295E58" w:rsidRPr="00295E58" w:rsidRDefault="00295E58" w:rsidP="00295E58">
      <w:pPr>
        <w:rPr>
          <w:b/>
          <w:bCs/>
        </w:rPr>
      </w:pPr>
      <w:r>
        <w:rPr>
          <w:b/>
          <w:bCs/>
        </w:rPr>
        <w:t xml:space="preserve">Customary international humanitarian law: ICRC Study on Customary IHL, Rule 47 (attack against persons hors de combat). Historical root: Hague Convention IV respecting the Laws and Customs of War on Land (1907), Regulations, Article 23(c). Conventional formulation, for States party: Article 41 of Additional Protocol I. Precautionary obligations: Article 57 of Additional Protocol I. Review procedure for States party: Article 36 of Additional Protocol I. Review procedures for other States: national weapons-review policies, military directives (including US DoD Directive 3000.09, UK Ambitious, Safe, Responsible), and system-safety standards (including MIL-STD-882E).</w:t>
      </w:r>
    </w:p>
    <w:p w:rsidR="00295E58" w:rsidRPr="00295E58" w:rsidRDefault="00295E58" w:rsidP="00295E58">
      <w:pPr>
        <w:rPr>
          <w:b/>
          <w:bCs/>
        </w:rPr>
      </w:pPr>
    </w:p>
    <w:p w:rsidR="00295E58" w:rsidRPr="00295E58" w:rsidRDefault="00295E58" w:rsidP="00295E58">
      <w:pPr>
        <w:rPr>
          <w:b/>
          <w:bCs/>
        </w:rPr>
      </w:pPr>
      <w:r>
        <w:rPr>
          <w:b/>
          <w:bCs/>
        </w:rPr>
        <w:t>Supporting materials</w:t>
      </w:r>
    </w:p>
    <w:p w:rsidR="00295E58" w:rsidRPr="00295E58" w:rsidRDefault="00295E58" w:rsidP="00295E58">
      <w:pPr>
        <w:rPr>
          <w:b/>
          <w:bCs/>
        </w:rPr>
      </w:pPr>
    </w:p>
    <w:p w:rsidR="00295E58" w:rsidRPr="00295E58" w:rsidRDefault="00295E58" w:rsidP="00295E58">
      <w:pPr>
        <w:rPr>
          <w:b/>
          <w:bCs/>
        </w:rPr>
      </w:pPr>
      <w:r>
        <w:rPr>
          <w:b/>
          <w:bCs/>
        </w:rPr>
        <w:t xml:space="preserve">The temporal analysis underlying this paper is set out in G. Nardacci, The Reciprocal Time Window as a Precondition of the Recognition Obligation (HFA Technical Note HFA-TN-02, 2026), Zenodo DOI 10.5281/zenodo.21224900. The recognition specification referred to in Section V is documented in HF SIGNAL 01: A Technical Specification for Surrender Recognition (2026), Zenodo DOI 10.5281/zenodo.21183137, and in the accompanying Architecture Note, Zenodo DOI 10.5281/zenodo.21809826. All materials are openly available at humanflag.org.</w:t>
      </w:r>
    </w:p>
    <w:p w:rsidR="00295E58" w:rsidRPr="00295E58" w:rsidRDefault="00295E58" w:rsidP="00295E58">
      <w:pPr>
        <w:rPr>
          <w:b/>
          <w:bCs/>
        </w:rPr>
      </w:pPr>
    </w:p>
    <w:p w:rsidR="00295E58" w:rsidRPr="00295E58" w:rsidRDefault="00295E58" w:rsidP="00295E58">
      <w:pPr>
        <w:rPr>
          <w:b/>
          <w:bCs/>
        </w:rPr>
      </w:pPr>
      <w:r>
        <w:rPr>
          <w:b/>
          <w:bCs/>
        </w:rPr>
        <w:t>Annex - The Human Flag Association corpus</w:t>
      </w:r>
    </w:p>
    <w:p w:rsidR="00295E58" w:rsidRPr="00295E58" w:rsidRDefault="00295E58" w:rsidP="00295E58">
      <w:pPr>
        <w:rPr>
          <w:b/>
          <w:bCs/>
        </w:rPr>
      </w:pPr>
    </w:p>
    <w:p w:rsidR="00295E58" w:rsidRPr="00295E58" w:rsidRDefault="00295E58" w:rsidP="00295E58">
      <w:pPr>
        <w:rPr>
          <w:b/>
          <w:bCs/>
        </w:rPr>
      </w:pPr>
      <w:r>
        <w:rPr>
          <w:b/>
          <w:bCs/>
        </w:rPr>
        <w:t xml:space="preserve">The proposition advanced in this paper rests on a documented body of work, deposited with permanent identifiers and openly available. The following is offered to delegations wishing to examine its basis.</w:t>
      </w:r>
    </w:p>
    <w:p w:rsidR="00295E58" w:rsidRPr="00295E58" w:rsidRDefault="00295E58" w:rsidP="00295E58">
      <w:pPr>
        <w:rPr>
          <w:b/>
          <w:bCs/>
        </w:rPr>
      </w:pPr>
    </w:p>
    <w:p w:rsidR="00295E58" w:rsidRPr="00295E58" w:rsidRDefault="00295E58" w:rsidP="00295E58">
      <w:pPr>
        <w:rPr>
          <w:b/>
          <w:bCs/>
        </w:rPr>
      </w:pPr>
      <w:r>
        <w:rPr>
          <w:b/>
          <w:bCs/>
        </w:rPr>
        <w:t>International humanitarian law</w:t>
      </w:r>
    </w:p>
    <w:p w:rsidR="00295E58" w:rsidRPr="00295E58" w:rsidRDefault="00295E58" w:rsidP="00295E58">
      <w:pPr>
        <w:rPr>
          <w:b/>
          <w:bCs/>
        </w:rPr>
      </w:pPr>
    </w:p>
    <w:p w:rsidR="00295E58" w:rsidRPr="00295E58" w:rsidRDefault="00295E58" w:rsidP="00295E58">
      <w:pPr>
        <w:rPr>
          <w:b/>
          <w:bCs/>
        </w:rPr>
      </w:pPr>
      <w:r>
        <w:rPr>
          <w:b/>
          <w:bCs/>
        </w:rPr>
        <w:t xml:space="preserve">1. Paper I - Lawful Operational Safeguards in AI Systems (10.5281/zenodo.21932439</w:t>
      </w:r>
      <w:bookmarkStart w:id="0" w:name="_GoBack"/>
      <w:bookmarkEnd w:id="0"/>
      <w:r>
        <w:rPr>
          <w:b/>
          <w:bCs/>
        </w:rPr>
        <w:t>). Why surrender-recognition capability is a question that weapons review is already required to ask.</w:t>
      </w:r>
    </w:p>
    <w:p w:rsidR="00295E58" w:rsidRPr="00295E58" w:rsidRDefault="00295E58" w:rsidP="00295E58">
      <w:pPr>
        <w:rPr>
          <w:b/>
          <w:bCs/>
        </w:rPr>
      </w:pPr>
      <w:r>
        <w:rPr>
          <w:b/>
          <w:bCs/>
        </w:rPr>
        <w:t xml:space="preserve">2. HFA-TN-02 - The Reciprocal Time Window (10.5281/zenodo.21224900). The temporal analysis underlying the present paper: below a minimum reciprocal duration, recognition is not missed but precluded.</w:t>
      </w:r>
    </w:p>
    <w:p w:rsidR="00295E58" w:rsidRPr="00295E58" w:rsidRDefault="00295E58" w:rsidP="00295E58">
      <w:pPr>
        <w:rPr>
          <w:b/>
          <w:bCs/>
        </w:rPr>
      </w:pPr>
      <w:r>
        <w:rPr>
          <w:b/>
          <w:bCs/>
        </w:rPr>
        <w:t>3. HFA-TN-01 - Third-Party Interference with Shutdown Mechanisms (10.5281/zenodo.21223989). A second-order failure mode: a co-deployed system may defeat the arrest of another, leaving human intervention formally in place but structurally nullified.</w:t>
      </w:r>
    </w:p>
    <w:p w:rsidR="00295E58" w:rsidRPr="00295E58" w:rsidRDefault="00295E58" w:rsidP="00295E58">
      <w:pPr>
        <w:rPr>
          <w:b/>
          <w:bCs/>
        </w:rPr>
      </w:pPr>
      <w:r>
        <w:rPr>
          <w:b/>
          <w:bCs/>
        </w:rPr>
        <w:t>4. Paper III - HF SIGNAL 01 (10.5281/zenodo.21183137), with its Architecture Note (10.5281/zenodo.21809826). The candidate recognition specification referred to in Section V, and the note stating its current architecture and its limits.</w:t>
      </w:r>
    </w:p>
    <w:p w:rsidR="00295E58" w:rsidRPr="00295E58" w:rsidRDefault="00295E58" w:rsidP="00295E58">
      <w:pPr>
        <w:rPr>
          <w:b/>
          <w:bCs/>
        </w:rPr>
      </w:pPr>
    </w:p>
    <w:p w:rsidR="00295E58" w:rsidRPr="00295E58" w:rsidRDefault="00295E58" w:rsidP="00295E58">
      <w:pPr>
        <w:rPr>
          <w:b/>
          <w:bCs/>
        </w:rPr>
      </w:pPr>
      <w:r>
        <w:rPr>
          <w:b/>
          <w:bCs/>
        </w:rPr>
        <w:t>Parallel analysis in civil machine-safety law</w:t>
      </w:r>
    </w:p>
    <w:p w:rsidR="00295E58" w:rsidRPr="00295E58" w:rsidRDefault="00295E58" w:rsidP="00295E58">
      <w:pPr>
        <w:rPr>
          <w:b/>
          <w:bCs/>
        </w:rPr>
      </w:pPr>
    </w:p>
    <w:p w:rsidR="00295E58" w:rsidRPr="00295E58" w:rsidRDefault="00295E58" w:rsidP="00295E58">
      <w:pPr>
        <w:rPr>
          <w:b/>
          <w:bCs/>
        </w:rPr>
      </w:pPr>
      <w:r>
        <w:rPr>
          <w:b/>
          <w:bCs/>
        </w:rPr>
        <w:t xml:space="preserve">5. Paper II - Systemic Arrestability (10.5281/zenodo.20837150). The same temporal structure in civil machine-safety law, on independent legal anchors. Its convergence with the present analysis indicates that the effectiveness problem is structural rather than regime-specific. The analysis is confined to civil and dual-use machinery; no normative inference is drawn from that regime to the conduct of hostilities.</w:t>
      </w:r>
    </w:p>
    <w:p w:rsidR="00295E58" w:rsidRPr="00295E58" w:rsidRDefault="00295E58" w:rsidP="00295E58">
      <w:pPr>
        <w:rPr>
          <w:b/>
          <w:bCs/>
        </w:rPr>
      </w:pPr>
    </w:p>
    <w:p w:rsidR="001652FE" w:rsidRPr="00593386" w:rsidRDefault="00295E58" w:rsidP="00295E58">
      <w:r>
        <w:rPr>
          <w:b/>
          <w:bCs/>
        </w:rPr>
        <w:t>The corpus asserts no adoption, no legal status and no operational validation of any specification. It identifies conditions of exercisability of obligations already in force. All materials are openly available at humanflag.org.</w:t>
      </w:r>
    </w:p>
    <w:sectPr w:rsidR="001652FE" w:rsidRPr="00593386">
      <w:pgSz w:w="11906" w:h="16838"/>
      <w:pgMar w:top="1300" w:right="1450" w:bottom="1300" w:left="145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774DA"/>
    <w:multiLevelType w:val="multilevel"/>
    <w:tmpl w:val="1C6CA7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09183E"/>
    <w:multiLevelType w:val="multilevel"/>
    <w:tmpl w:val="5A225646"/>
    <w:lvl w:ilvl="0">
      <w:start w:val="1"/>
      <w:numFmt w:val="lowerLetter"/>
      <w:lvlText w:val="(%1)"/>
      <w:lvlJc w:val="left"/>
      <w:pPr>
        <w:tabs>
          <w:tab w:val="num" w:pos="0"/>
        </w:tabs>
        <w:ind w:left="936" w:hanging="475"/>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9ED1366"/>
    <w:multiLevelType w:val="multilevel"/>
    <w:tmpl w:val="C0B68E3E"/>
    <w:lvl w:ilvl="0">
      <w:start w:val="1"/>
      <w:numFmt w:val="decimal"/>
      <w:lvlText w:val="%1."/>
      <w:lvlJc w:val="left"/>
      <w:pPr>
        <w:tabs>
          <w:tab w:val="num" w:pos="0"/>
        </w:tabs>
        <w:ind w:left="460" w:hanging="4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1"/>
  </w:num>
  <w:num w:numId="3">
    <w:abstractNumId w:val="0"/>
  </w:num>
  <w:num w:numId="4">
    <w:abstractNumId w:val="2"/>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autoHyphenation/>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2FE"/>
    <w:rsid w:val="00073887"/>
    <w:rsid w:val="001652FE"/>
    <w:rsid w:val="002572D2"/>
    <w:rsid w:val="00295E58"/>
    <w:rsid w:val="00593386"/>
    <w:rsid w:val="00645145"/>
    <w:rsid w:val="00EC29F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5DA07B-70ED-4EDF-9BD9-7AD7DC4F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sz w:val="22"/>
        <w:szCs w:val="22"/>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Heading"/>
    <w:qFormat/>
    <w:pPr>
      <w:outlineLvl w:val="0"/>
    </w:pPr>
    <w:rPr>
      <w:color w:val="2E74B5"/>
      <w:sz w:val="32"/>
      <w:szCs w:val="32"/>
    </w:rPr>
  </w:style>
  <w:style w:type="paragraph" w:styleId="Titolo2">
    <w:name w:val="heading 2"/>
    <w:basedOn w:val="Heading"/>
    <w:qFormat/>
    <w:pPr>
      <w:outlineLvl w:val="1"/>
    </w:pPr>
    <w:rPr>
      <w:color w:val="2E74B5"/>
      <w:sz w:val="26"/>
      <w:szCs w:val="26"/>
    </w:rPr>
  </w:style>
  <w:style w:type="paragraph" w:styleId="Titolo3">
    <w:name w:val="heading 3"/>
    <w:basedOn w:val="Heading"/>
    <w:qFormat/>
    <w:pPr>
      <w:outlineLvl w:val="2"/>
    </w:pPr>
    <w:rPr>
      <w:color w:val="1F4D78"/>
      <w:sz w:val="24"/>
      <w:szCs w:val="24"/>
    </w:rPr>
  </w:style>
  <w:style w:type="paragraph" w:styleId="Titolo4">
    <w:name w:val="heading 4"/>
    <w:basedOn w:val="Heading"/>
    <w:qFormat/>
    <w:pPr>
      <w:outlineLvl w:val="3"/>
    </w:pPr>
    <w:rPr>
      <w:i/>
      <w:iCs/>
      <w:color w:val="2E74B5"/>
    </w:rPr>
  </w:style>
  <w:style w:type="paragraph" w:styleId="Titolo5">
    <w:name w:val="heading 5"/>
    <w:basedOn w:val="Heading"/>
    <w:qFormat/>
    <w:pPr>
      <w:outlineLvl w:val="4"/>
    </w:pPr>
    <w:rPr>
      <w:color w:val="2E74B5"/>
    </w:rPr>
  </w:style>
  <w:style w:type="paragraph" w:styleId="Titolo6">
    <w:name w:val="heading 6"/>
    <w:basedOn w:val="Heading"/>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imandonotaapidipagina">
    <w:name w:val="footnote reference"/>
    <w:rPr>
      <w:vertAlign w:val="superscript"/>
    </w:rPr>
  </w:style>
  <w:style w:type="character" w:customStyle="1" w:styleId="TestonotaapidipaginaCarattere">
    <w:name w:val="Testo nota a piè di pagina Carattere"/>
    <w:link w:val="Testonotaapidipagina"/>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imandonotadichiusura">
    <w:name w:val="endnote reference"/>
    <w:rPr>
      <w:vertAlign w:val="superscript"/>
    </w:rPr>
  </w:style>
  <w:style w:type="character" w:customStyle="1" w:styleId="TestonotadichiusuraCarattere">
    <w:name w:val="Testo nota di chiusura Carattere"/>
    <w:link w:val="Testonotadichiusura"/>
    <w:uiPriority w:val="99"/>
    <w:semiHidden/>
    <w:unhideWhenUsed/>
    <w:qFormat/>
    <w:rPr>
      <w:sz w:val="20"/>
      <w:szCs w:val="20"/>
    </w:rPr>
  </w:style>
  <w:style w:type="paragraph" w:customStyle="1" w:styleId="Heading">
    <w:name w:val="Heading"/>
    <w:basedOn w:val="Normale"/>
    <w:next w:val="Corpotesto"/>
    <w:qFormat/>
    <w:pPr>
      <w:keepNext/>
      <w:spacing w:before="240" w:after="120"/>
    </w:pPr>
    <w:rPr>
      <w:rFonts w:ascii="Liberation Sans" w:eastAsia="Noto Sans CJK SC" w:hAnsi="Liberation Sans" w:cs="FreeSans"/>
      <w:sz w:val="28"/>
      <w:szCs w:val="28"/>
    </w:rPr>
  </w:style>
  <w:style w:type="paragraph" w:styleId="Corpotesto">
    <w:name w:val="Body Text"/>
    <w:basedOn w:val="Normale"/>
    <w:pPr>
      <w:spacing w:after="140" w:line="276" w:lineRule="auto"/>
    </w:pPr>
  </w:style>
  <w:style w:type="paragraph" w:styleId="Elenco">
    <w:name w:val="List"/>
    <w:basedOn w:val="Corpotesto"/>
    <w:rPr>
      <w:rFonts w:cs="FreeSans"/>
    </w:rPr>
  </w:style>
  <w:style w:type="paragraph" w:styleId="Didascalia">
    <w:name w:val="caption"/>
    <w:basedOn w:val="Normale"/>
    <w:qFormat/>
    <w:pPr>
      <w:suppressLineNumbers/>
      <w:spacing w:before="120" w:after="120"/>
    </w:pPr>
    <w:rPr>
      <w:rFonts w:cs="FreeSans"/>
      <w:i/>
      <w:iCs/>
      <w:sz w:val="24"/>
      <w:szCs w:val="24"/>
    </w:rPr>
  </w:style>
  <w:style w:type="paragraph" w:customStyle="1" w:styleId="Index">
    <w:name w:val="Index"/>
    <w:basedOn w:val="Normale"/>
    <w:qFormat/>
    <w:pPr>
      <w:suppressLineNumbers/>
    </w:pPr>
    <w:rPr>
      <w:rFonts w:cs="FreeSans"/>
    </w:rPr>
  </w:style>
  <w:style w:type="paragraph" w:styleId="Titolo">
    <w:name w:val="Title"/>
    <w:basedOn w:val="Heading"/>
    <w:qFormat/>
    <w:rPr>
      <w:sz w:val="56"/>
      <w:szCs w:val="56"/>
    </w:rPr>
  </w:style>
  <w:style w:type="paragraph" w:customStyle="1" w:styleId="StrongEmphasis">
    <w:name w:val="Strong Emphasis"/>
    <w:qFormat/>
    <w:rPr>
      <w:b/>
      <w:bCs/>
    </w:rPr>
  </w:style>
  <w:style w:type="paragraph" w:styleId="Paragrafoelenco">
    <w:name w:val="List Paragraph"/>
    <w:qFormat/>
  </w:style>
  <w:style w:type="paragraph" w:styleId="Testonotaapidipagina">
    <w:name w:val="footnote text"/>
    <w:basedOn w:val="Normale"/>
    <w:link w:val="TestonotaapidipaginaCarattere"/>
    <w:uiPriority w:val="99"/>
    <w:semiHidden/>
    <w:unhideWhenUsed/>
    <w:rPr>
      <w:sz w:val="20"/>
      <w:szCs w:val="20"/>
    </w:rPr>
  </w:style>
  <w:style w:type="paragraph" w:styleId="Testonotadichiusura">
    <w:name w:val="endnote text"/>
    <w:basedOn w:val="Normale"/>
    <w:link w:val="TestonotadichiusuraCaratter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2508</Words>
  <Characters>14298</Characters>
  <Application>Microsoft Office Word</Application>
  <DocSecurity>0</DocSecurity>
  <Lines>119</Lines>
  <Paragraphs>33</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16773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cp:lastModifiedBy>
  <cp:revision>3</cp:revision>
  <dcterms:created xsi:type="dcterms:W3CDTF">2026-08-17T08:35:00Z</dcterms:created>
  <dcterms:modified xsi:type="dcterms:W3CDTF">2026-08-17T13:34:00Z</dcterms:modified>
  <dc:language>en-US</dc:language>
</cp:coreProperties>
</file>