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2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</w:pPr>
      <w:r>
        <w:rPr>
          <w:rtl w:val="0"/>
          <w:lang w:val="en-US"/>
        </w:rPr>
        <w:t xml:space="preserve">Application for Machine Learning Engineer, AI Decisioning at Hightouch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Hightouch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Dear Hightouch Hiring Team,</w:t>
        <w:br/>
        <w:t xml:space="preserve"/>
        <w:br/>
        <w:t xml:space="preserve">I am a senior machine learning engineer with 15 years of experience building end-to-end AI decisioning systems, and I am excited to apply for the Machine Learning Engineer, AI Decisioning role at Hightouch.</w:t>
        <w:br/>
        <w:t xml:space="preserve"/>
        <w:br/>
        <w:t xml:space="preserve">My background spans predictive modeling for conversion and churn, next-best-action personalization and recommendation systems, rigorous experimentation (A/B tests, sequential tests, multi-armed bandits), and LLM-powered content generation. I have productionized ML on AWS with strong MLOps (feature stores, model registry, CI/CD, blue/green and canary deployments, drift/bias monitoring) and data pipelines across batch and real time. I work fluently in Python and SQL and integrate with customer data warehouses such as Snowflake and Databricks; I have also built agentic AI workflows with LangGraph.</w:t>
        <w:br/>
        <w:t xml:space="preserve"/>
        <w:br/>
        <w:t xml:space="preserve">Recently: propensity models delivered +11–15% conversion lift and reduced churn by 8% (AUC 0.84–0.89) with SHAP insights guiding targeting; a next-best-action service (FAISS retrieval + ranking via XGBoost/DeepFM) lifted CTR by 18% and CVR by 9% while meeting p95 latency of 55 ms; and LLM-generated outreach content increased CTR by 6% and CVR by 4% under safety and privacy guardrails, with an experimentation platform (CUPED + bandits) driving +7% incremental conversion and 20% faster test cycles.</w:t>
        <w:br/>
        <w:t xml:space="preserve"/>
        <w:br/>
        <w:t xml:space="preserve">I would bring a pragmatic, metrics-driven approach to help Hightouch and its customers operationalize AI decisioning—from predictive audiences and personalization to robust experimentation and monitoring. I welcome the opportunity to discuss how my experience can accelerate impact at Hightouch.</w:t>
        <w:br/>
        <w:t xml:space="preserve"/>
        <w:br/>
        <w:t xml:space="preserve">Sincerely,</w:t>
        <w:br/>
        <w:t xml:space="preserve">NARENDER SURABHI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