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2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</w:pPr>
      <w:r>
        <w:rPr>
          <w:rtl w:val="0"/>
          <w:lang w:val="en-US"/>
        </w:rPr>
        <w:t xml:space="preserve">Application for Lead AI Engineer (AI Foundations, LLM Core and Agentic AI) at Capital One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Capital One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With 18+ years delivering production ML and GenAI on AWS, I build reliable LLM services end to end—from design and training through inference, deployment, and on-call. At Acentra Health I lead LLM/RAG and agentic AI capabilities at scale. I’m excited to bring this hands-on rigor to Capital One’s AI Foundations efforts around LLM core and agentic systems.</w:t>
        <w:br/>
        <w:t xml:space="preserve"/>
        <w:br/>
        <w:t xml:space="preserve">My stack aligns closely with your needs: Python and Java (with targeted contributions in Go/Scala); PyTorch and Hugging Face (Transformers, PEFT/LoRA, TRL); vector search with FAISS/OpenSearch; RAG, memory architectures, and guardrails (Bedrock Guardrails, NeMo Guardrails); and evaluation/experimentation via MLflow, RAGAS, and regression suites. I design and operate GPU-backed services on EKS/SageMaker/Bedrock with observability (Prometheus/Grafana/OpenTelemetry), governance and auditability, and autoscaling—owning services in production across reliability, security, and cost.</w:t>
        <w:br/>
        <w:t xml:space="preserve"/>
        <w:br/>
        <w:t xml:space="preserve">Recent impact: I optimized LLM serving on EKS/SageMaker (vLLM/Triton) to cut p95 latency by 44% (1.1s → 620 ms), increase throughput 2.3x, reduce cost 35%, and lift GPU utilization by 25 points. I built similarity search for RAG using FAISS/OpenSearch with MMR and tuned embeddings, reaching R@5=0.92 with 30–40 ms p95 retrieval. I shipped agentic RAG workflows that reduced analyst review time by 42% and improved audit hit-rate by 21%, while guardrails (Bedrock/NeMo) reduced harmful outputs by 93% and prevented PII leakage.</w:t>
        <w:br/>
        <w:t xml:space="preserve"/>
        <w:br/>
        <w:t xml:space="preserve">I’d welcome the opportunity to discuss how these practices—PEFT-based training, high-throughput inference, agent memory/guardrails, rigorous evaluation, and enterprise-grade observability and governance—can accelerate Capital One’s AI roadmap. Thank you for your consideration.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