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Engineering: The Latest Inventions and What to Build Next</w:t>
      </w:r>
    </w:p>
    <w:p>
      <w:r>
        <w:t>Audience: CTOs, AI Engineers, Platform Engineers, Software Engineers</w:t>
      </w:r>
    </w:p>
    <w:p/>
    <w:p>
      <w:pPr>
        <w:pStyle w:val="Heading1"/>
      </w:pPr>
      <w:r>
        <w:t>Executive Summary</w:t>
      </w:r>
    </w:p>
    <w:p>
      <w:r>
        <w:t>AI engineering has shifted from single-model prompt design to end-to-end systems that combine foundation models, retrieval, tools, and rigorous operations. The newest inventions emphasize efficient adaptation (LoRA/QLoRA and parameter-efficient finetuning), Retrieval-Augmented Generation 2.0 (hybrid retrieval, re-ranking, and query planning), reliable agents with tool-use orchestration, and production-grade evaluation, guardrails, and observability.</w:t>
      </w:r>
    </w:p>
    <w:p>
      <w:r>
        <w:t>Winning teams treat LLMs like distributed systems: they design data engines, monitor quality and cost continuously, and iterate behind strong governance. The practical path: start with RAG and guardrails, add efficiency techniques to control spend, and elevate quality with targeted finetuning and synthetic data where it truly moves the needle.</w:t>
      </w:r>
    </w:p>
    <w:p>
      <w:pPr>
        <w:pStyle w:val="ListBullet"/>
      </w:pPr>
      <w:r>
        <w:t>Prioritize data quality and retrieval before model swapping; it often yields the largest lift.</w:t>
      </w:r>
    </w:p>
    <w:p>
      <w:pPr>
        <w:pStyle w:val="ListBullet"/>
      </w:pPr>
      <w:r>
        <w:t>Use parameter-efficient finetuning to fit domain style or structured tasks; keep the base model general.</w:t>
      </w:r>
    </w:p>
    <w:p>
      <w:pPr>
        <w:pStyle w:val="ListBullet"/>
      </w:pPr>
      <w:r>
        <w:t>RAG 2.0: hybrid retrieval, document chunking with semantic boundaries, and re-ranking are baseline.</w:t>
      </w:r>
    </w:p>
    <w:p>
      <w:pPr>
        <w:pStyle w:val="ListBullet"/>
      </w:pPr>
      <w:r>
        <w:t>Agents add value when tools are deterministic, sandboxed, and orchestrated with clear policies.</w:t>
      </w:r>
    </w:p>
    <w:p>
      <w:pPr>
        <w:pStyle w:val="ListBullet"/>
      </w:pPr>
      <w:r>
        <w:t>Production requires eval baselines, guardrails, tracing, and cost/performance controls from day one.</w:t>
      </w:r>
    </w:p>
    <w:p/>
    <w:p>
      <w:pPr>
        <w:pStyle w:val="Heading1"/>
      </w:pPr>
      <w:r>
        <w:t>Foundation Models and Efficient Fine-Tuning (LoRA, QLoRA, parameter-efficient methods)</w:t>
      </w:r>
    </w:p>
    <w:p>
      <w:r>
        <w:t>Parameter-efficient finetuning (PEFT) lets teams adapt large models without retraining the base. LoRA injects low-rank adapters into attention/MLP blocks; QLoRA combines 4-bit quantization of base weights with LoRA adapters, retaining quality while reducing memory and cost. Newer variants (e.g., DoRA, task- or layer-selective adapters) further improve stability and sample efficiency.</w:t>
      </w:r>
    </w:p>
    <w:p>
      <w:pPr>
        <w:pStyle w:val="ListBullet"/>
      </w:pPr>
      <w:r>
        <w:t>When to finetune: domain-specific tone/terminology, structured extraction, schema-constrained outputs, or when RAG plateaued.</w:t>
      </w:r>
    </w:p>
    <w:p>
      <w:pPr>
        <w:pStyle w:val="ListBullet"/>
      </w:pPr>
      <w:r>
        <w:t>QLoRA: 4-bit quantization with 8/16-bit adapters yields 3–5x memory savings with minimal loss for many tasks.</w:t>
      </w:r>
    </w:p>
    <w:p>
      <w:pPr>
        <w:pStyle w:val="ListBullet"/>
      </w:pPr>
      <w:r>
        <w:t>Scope adapters to high-impact layers; freeze the base for reliability and faster iteration.</w:t>
      </w:r>
    </w:p>
    <w:p>
      <w:pPr>
        <w:pStyle w:val="ListBullet"/>
      </w:pPr>
      <w:r>
        <w:t>Prefer small, high-quality task datasets over large noisy sets; measure with held-out golden sets.</w:t>
      </w:r>
    </w:p>
    <w:p>
      <w:pPr>
        <w:pStyle w:val="ListBullet"/>
      </w:pPr>
      <w:r>
        <w:t>Keep adapters modular: per-use-case adapters can be swapped without touching the base model.</w:t>
      </w:r>
    </w:p>
    <w:p/>
    <w:p>
      <w:pPr>
        <w:pStyle w:val="Heading1"/>
      </w:pPr>
      <w:r>
        <w:t>Retrieval-Augmented Generation 2.0 and Retrieval Infrastructure</w:t>
      </w:r>
    </w:p>
    <w:p>
      <w:r>
        <w:t>RAG 2.0 treats retrieval as a programmable pipeline. It blends lexical and semantic search, applies query transformations and multi-hop reasoning, and re-ranks for precision. Freshness, chunking strategy, and metadata governance matter as much as the model. The result is higher faithfulness, better attribution, and lower hallucination rates.</w:t>
      </w:r>
    </w:p>
    <w:p>
      <w:pPr>
        <w:pStyle w:val="ListBullet"/>
      </w:pPr>
      <w:r>
        <w:t>Hybrid retrieval: combine vector embeddings with BM25/keyword filters; add metadata and access control filters.</w:t>
      </w:r>
    </w:p>
    <w:p>
      <w:pPr>
        <w:pStyle w:val="ListBullet"/>
      </w:pPr>
      <w:r>
        <w:t>Chunking: semantic boundary chunking with 200–800 token windows; store section titles and hierarchies.</w:t>
      </w:r>
    </w:p>
    <w:p>
      <w:pPr>
        <w:pStyle w:val="ListBullet"/>
      </w:pPr>
      <w:r>
        <w:t>Re-rankers: lightweight cross-encoders or late-interaction models boost precision on top-k results.</w:t>
      </w:r>
    </w:p>
    <w:p>
      <w:pPr>
        <w:pStyle w:val="ListBullet"/>
      </w:pPr>
      <w:r>
        <w:t>Query planning: decompose complex queries; use tool- or graph-based multi-step retrieval for multi-hop questions.</w:t>
      </w:r>
    </w:p>
    <w:p>
      <w:pPr>
        <w:pStyle w:val="ListBullet"/>
      </w:pPr>
      <w:r>
        <w:t>Ops: incremental indexing, document versioning, and delete/update workflows; cache hot queries with TTL and invalidation.</w:t>
      </w:r>
    </w:p>
    <w:p/>
    <w:p>
      <w:pPr>
        <w:pStyle w:val="Heading1"/>
      </w:pPr>
      <w:r>
        <w:t>Agents, Tool Use, and Orchestration Frameworks</w:t>
      </w:r>
    </w:p>
    <w:p>
      <w:r>
        <w:t>Modern agents are constrained planners that call tools, not free-roaming chatbots. Reliability comes from formal tool schemas, deterministic fallbacks, and graph-based orchestration. Start narrow, measure tool success rates, and introduce parallelism only after correctness is stable.</w:t>
      </w:r>
    </w:p>
    <w:p>
      <w:pPr>
        <w:pStyle w:val="ListBullet"/>
      </w:pPr>
      <w:r>
        <w:t>Design tools with strict JSON schemas, idempotency, and timeouts; sandbox I/O and network.</w:t>
      </w:r>
    </w:p>
    <w:p>
      <w:pPr>
        <w:pStyle w:val="ListBullet"/>
      </w:pPr>
      <w:r>
        <w:t>Use graph or state-machine orchestration to control loops and retries; cap steps and cost per session.</w:t>
      </w:r>
    </w:p>
    <w:p>
      <w:pPr>
        <w:pStyle w:val="ListBullet"/>
      </w:pPr>
      <w:r>
        <w:t>Enable function calling with explicit policies (allowed tools by user/role/context).</w:t>
      </w:r>
    </w:p>
    <w:p>
      <w:pPr>
        <w:pStyle w:val="ListBullet"/>
      </w:pPr>
      <w:r>
        <w:t>Cache tool results with parameter hashes; invalidate on data updates.</w:t>
      </w:r>
    </w:p>
    <w:p>
      <w:pPr>
        <w:pStyle w:val="ListBullet"/>
      </w:pPr>
      <w:r>
        <w:t>Log every tool call with inputs/outputs for auditability and post-mortems.</w:t>
      </w:r>
    </w:p>
    <w:p/>
    <w:p>
      <w:pPr>
        <w:pStyle w:val="Heading1"/>
      </w:pPr>
      <w:r>
        <w:t>Evaluation, Guardrails, and Governance (Safety, Policy, and Compliance)</w:t>
      </w:r>
    </w:p>
    <w:p>
      <w:r>
        <w:t>Evaluation shifts AI from demos to dependable software. Blend rubric-based LLM judges with human review on golden sets; add task-level metrics for RAG (groundedness, answer correctness, citation quality). Guardrails enforce policy, prevent prompt injection/data exfiltration, and keep outputs safe and compliant.</w:t>
      </w:r>
    </w:p>
    <w:p>
      <w:pPr>
        <w:pStyle w:val="ListBullet"/>
      </w:pPr>
      <w:r>
        <w:t>Golden datasets: stratify by use case, difficulty, and risk; include adversarial and long-tail examples.</w:t>
      </w:r>
    </w:p>
    <w:p>
      <w:pPr>
        <w:pStyle w:val="ListBullet"/>
      </w:pPr>
      <w:r>
        <w:t>RAG metrics: context precision/recall, faithfulness/attribution, and final-task accuracy.</w:t>
      </w:r>
    </w:p>
    <w:p>
      <w:pPr>
        <w:pStyle w:val="ListBullet"/>
      </w:pPr>
      <w:r>
        <w:t>Guardrails: input/output filters (PII, secrets), URL/domain allow-lists, content moderation, and regex/AST validation.</w:t>
      </w:r>
    </w:p>
    <w:p>
      <w:pPr>
        <w:pStyle w:val="ListBullet"/>
      </w:pPr>
      <w:r>
        <w:t>Governance: model registry, data lineage, versioned prompts, and change control approvals.</w:t>
      </w:r>
    </w:p>
    <w:p>
      <w:pPr>
        <w:pStyle w:val="ListBullet"/>
      </w:pPr>
      <w:r>
        <w:t>Align with emerging frameworks (e.g., NIST AI RMF, OWASP LLMSec Top 10, regional AI regulations).</w:t>
      </w:r>
    </w:p>
    <w:p/>
    <w:p>
      <w:pPr>
        <w:pStyle w:val="Heading1"/>
      </w:pPr>
      <w:r>
        <w:t>Observability, Monitoring, and Tracing for LLM Systems</w:t>
      </w:r>
    </w:p>
    <w:p>
      <w:r>
        <w:t>LLM systems need end-to-end traces that stitch prompts, retrieval, tool calls, and model outputs. Standardize on tracing (e.g., OpenTelemetry) and capture structured fields for reproducibility. Pair live monitors with offline error analysis and drift detection.</w:t>
      </w:r>
    </w:p>
    <w:p>
      <w:pPr>
        <w:pStyle w:val="ListBullet"/>
      </w:pPr>
      <w:r>
        <w:t>Trace fields: request ID, user/org, prompt version, model/version, retrieval hits, tool calls, cost, latency.</w:t>
      </w:r>
    </w:p>
    <w:p>
      <w:pPr>
        <w:pStyle w:val="ListBullet"/>
      </w:pPr>
      <w:r>
        <w:t>Key SLOs: time-to-first-token (TTFT), p95 latency, success/tool error rate, groundedness, cost/op.</w:t>
      </w:r>
    </w:p>
    <w:p>
      <w:pPr>
        <w:pStyle w:val="ListBullet"/>
      </w:pPr>
      <w:r>
        <w:t>Drift: monitor embedding and input distribution shifts; alert on retrieval precision drops.</w:t>
      </w:r>
    </w:p>
    <w:p>
      <w:pPr>
        <w:pStyle w:val="ListBullet"/>
      </w:pPr>
      <w:r>
        <w:t>Feedback: UI thumbs-up/down, rationale capture, and issue tagging funnel into training queues.</w:t>
      </w:r>
    </w:p>
    <w:p>
      <w:pPr>
        <w:pStyle w:val="ListBullet"/>
      </w:pPr>
      <w:r>
        <w:t>Dashboards: slice by tenant, region, and model; include incident playback with full traces and artifacts.</w:t>
      </w:r>
    </w:p>
    <w:p/>
    <w:p>
      <w:pPr>
        <w:pStyle w:val="Heading1"/>
      </w:pPr>
      <w:r>
        <w:t>Performance and Cost Optimization (Quantization, Caching, Distillation)</w:t>
      </w:r>
    </w:p>
    <w:p>
      <w:r>
        <w:t>Cost control is a product feature. Combine quantization, caching, and distillation with batching and speculative decoding. Treat KV cache as a first-class resource and watch for tail latency from tool or retrieval fan-out.</w:t>
      </w:r>
    </w:p>
    <w:p>
      <w:pPr>
        <w:pStyle w:val="ListBullet"/>
      </w:pPr>
      <w:r>
        <w:t>Quantization: 8/4-bit (e.g., AWQ/GPTQ/GGUF) for server and on-device; measure quality deltas per task.</w:t>
      </w:r>
    </w:p>
    <w:p>
      <w:pPr>
        <w:pStyle w:val="ListBullet"/>
      </w:pPr>
      <w:r>
        <w:t>KV cache: reuse across turns; quantize/compress KV; cap context and prune earlier segments.</w:t>
      </w:r>
    </w:p>
    <w:p>
      <w:pPr>
        <w:pStyle w:val="ListBullet"/>
      </w:pPr>
      <w:r>
        <w:t>Caching: semantic response caches for read-mostly prompts; embedding caches for frequent docs.</w:t>
      </w:r>
    </w:p>
    <w:p>
      <w:pPr>
        <w:pStyle w:val="ListBullet"/>
      </w:pPr>
      <w:r>
        <w:t>Throughput: dynamic batching, parallel tool calls, and speculative/assisted decoding to cut latency.</w:t>
      </w:r>
    </w:p>
    <w:p>
      <w:pPr>
        <w:pStyle w:val="ListBullet"/>
      </w:pPr>
      <w:r>
        <w:t>Distillation: compress large-model behavior into smaller models or adapters for hot paths.</w:t>
      </w:r>
    </w:p>
    <w:p/>
    <w:p>
      <w:pPr>
        <w:pStyle w:val="Heading1"/>
      </w:pPr>
      <w:r>
        <w:t>Multimodal Systems (Vision, Audio, Video) and Emerging Use Cases</w:t>
      </w:r>
    </w:p>
    <w:p>
      <w:r>
        <w:t>Multimodal models natively integrate text, vision, audio, and sometimes video. They unlock document understanding, A/V analytics, and real-time assistants. Production readiness still hinges on careful evaluation and privacy controls for sensitive media.</w:t>
      </w:r>
    </w:p>
    <w:p>
      <w:pPr>
        <w:pStyle w:val="ListBullet"/>
      </w:pPr>
      <w:r>
        <w:t>Document AI: OCR-free VLMs improve tables, charts, and handwriting; keep provenance and page anchors.</w:t>
      </w:r>
    </w:p>
    <w:p>
      <w:pPr>
        <w:pStyle w:val="ListBullet"/>
      </w:pPr>
      <w:r>
        <w:t>Speech: streaming ASR + diarization + LLM summarization; measure WER and latency budgets.</w:t>
      </w:r>
    </w:p>
    <w:p>
      <w:pPr>
        <w:pStyle w:val="ListBullet"/>
      </w:pPr>
      <w:r>
        <w:t>Video: keyframe extraction + clip captioning + retrieval for search and compliance.</w:t>
      </w:r>
    </w:p>
    <w:p>
      <w:pPr>
        <w:pStyle w:val="ListBullet"/>
      </w:pPr>
      <w:r>
        <w:t>Safety: blur/redact faces/PII on ingest; controlled retention policies for media artifacts.</w:t>
      </w:r>
    </w:p>
    <w:p>
      <w:pPr>
        <w:pStyle w:val="ListBullet"/>
      </w:pPr>
      <w:r>
        <w:t>Tool use: vision-grounded agents for UI automation, QA on renders, and field inspections.</w:t>
      </w:r>
    </w:p>
    <w:p/>
    <w:p>
      <w:pPr>
        <w:pStyle w:val="Heading1"/>
      </w:pPr>
      <w:r>
        <w:t>On-Device and Edge AI</w:t>
      </w:r>
    </w:p>
    <w:p>
      <w:r>
        <w:t>On-device models reduce latency, control costs, and improve privacy. With 4/8-bit quantization and efficient runtimes, capable LLMs and VLMs now run on laptops, mobiles, and edge boxes, often paired with cloud for retrieval or heavy tasks.</w:t>
      </w:r>
    </w:p>
    <w:p>
      <w:pPr>
        <w:pStyle w:val="ListBullet"/>
      </w:pPr>
      <w:r>
        <w:t>Hybrid patterns: on-device for intent and redaction; cloud for RAG and heavy generation.</w:t>
      </w:r>
    </w:p>
    <w:p>
      <w:pPr>
        <w:pStyle w:val="ListBullet"/>
      </w:pPr>
      <w:r>
        <w:t>Runtimes: ONNX Runtime, Core ML, WebGPU/WASM, and device-NPU backends for acceleration.</w:t>
      </w:r>
    </w:p>
    <w:p>
      <w:pPr>
        <w:pStyle w:val="ListBullet"/>
      </w:pPr>
      <w:r>
        <w:t>Edge ops: model updates via signed bundles, staged rollouts, and rollback plans.</w:t>
      </w:r>
    </w:p>
    <w:p>
      <w:pPr>
        <w:pStyle w:val="ListBullet"/>
      </w:pPr>
      <w:r>
        <w:t>Privacy by design: local embeddings, encrypted caches, and offline-first modes.</w:t>
      </w:r>
    </w:p>
    <w:p>
      <w:pPr>
        <w:pStyle w:val="ListBullet"/>
      </w:pPr>
      <w:r>
        <w:t>Resource budgets: cap context length and tool calls; schedule sync during low-power windows.</w:t>
      </w:r>
    </w:p>
    <w:p/>
    <w:p>
      <w:pPr>
        <w:pStyle w:val="Heading1"/>
      </w:pPr>
      <w:r>
        <w:t>Synthetic Data, Data Engines, and Test Suites</w:t>
      </w:r>
    </w:p>
    <w:p>
      <w:r>
        <w:t>Data engines continuously generate, filter, and score task-specific data. Synthetic examples—bootstrapped by strong models and refined with human review—can fill gaps and harden edge cases. The key is disciplined curation, deduplication, and measurable test coverage.</w:t>
      </w:r>
    </w:p>
    <w:p>
      <w:pPr>
        <w:pStyle w:val="ListBullet"/>
      </w:pPr>
      <w:r>
        <w:t>Generation: self-play and expert prompts to create diverse, labeled pairs aligned to schemas.</w:t>
      </w:r>
    </w:p>
    <w:p>
      <w:pPr>
        <w:pStyle w:val="ListBullet"/>
      </w:pPr>
      <w:r>
        <w:t>Curation: deduplicate, decontaminate, and filter for bias/toxicity; maintain source provenance.</w:t>
      </w:r>
    </w:p>
    <w:p>
      <w:pPr>
        <w:pStyle w:val="ListBullet"/>
      </w:pPr>
      <w:r>
        <w:t>Test suites: golden sets plus metamorphic tests (format invariance, reference consistency, safety).</w:t>
      </w:r>
    </w:p>
    <w:p>
      <w:pPr>
        <w:pStyle w:val="ListBullet"/>
      </w:pPr>
      <w:r>
        <w:t>Evaluation loop: auto-grade with LLM judges, then human spot-check; promote only high-confidence items.</w:t>
      </w:r>
    </w:p>
    <w:p>
      <w:pPr>
        <w:pStyle w:val="ListBullet"/>
      </w:pPr>
      <w:r>
        <w:t>Data flywheel: route production errors and user feedback into targeted data generation and retraining.</w:t>
      </w:r>
    </w:p>
    <w:p/>
    <w:p>
      <w:pPr>
        <w:pStyle w:val="Heading1"/>
      </w:pPr>
      <w:r>
        <w:t>Roadmap and Next Steps</w:t>
      </w:r>
    </w:p>
    <w:p>
      <w:r>
        <w:t>A pragmatic path from prototype to production over 90 days.</w:t>
      </w:r>
    </w:p>
    <w:p>
      <w:pPr>
        <w:pStyle w:val="ListBullet"/>
      </w:pPr>
      <w:r>
        <w:t>Days 0–30: define north-star metrics (quality, latency, cost); build golden eval sets; select a high-value use case; stand up tracing/observability; choose base model and retrieval stack; security review and data governance baseline.</w:t>
      </w:r>
    </w:p>
    <w:p>
      <w:pPr>
        <w:pStyle w:val="ListBullet"/>
      </w:pPr>
      <w:r>
        <w:t>Days 31–60: implement RAG 2.0 (hybrid retrieval, re-ranking, chunking); add guardrails (PII redaction, policy filters); pilot a narrow agent with 2–3 deterministic tools; A/B against baseline; start PEFT (QLoRA) if RAG saturates.</w:t>
      </w:r>
    </w:p>
    <w:p>
      <w:pPr>
        <w:pStyle w:val="ListBullet"/>
      </w:pPr>
      <w:r>
        <w:t>Days 61–90: performance pass (quantization, batching, caches, speculative decoding); distill hot paths; expand governance (model/prompt registry, approvals); resilience testing and incident runbooks; prepare staged rollout with cost SLOs.</w:t>
      </w:r>
    </w:p>
    <w:p>
      <w:pPr>
        <w:pStyle w:val="ListBullet"/>
      </w:pPr>
      <w:r>
        <w:t>Create a 90-day AI engineering roadmap</w:t>
      </w:r>
    </w:p>
    <w:p>
      <w:pPr>
        <w:pStyle w:val="ListBullet"/>
      </w:pPr>
      <w:r>
        <w:t>Establish evaluation and observability baselines</w:t>
      </w:r>
    </w:p>
    <w:p>
      <w:pPr>
        <w:pStyle w:val="ListBullet"/>
      </w:pPr>
      <w:r>
        <w:t>Pilot an agents + RAG architecture with governance</w:t>
      </w:r>
    </w:p>
    <w:p/>
    <w:p>
      <w:pPr>
        <w:pStyle w:val="Heading1"/>
      </w:pPr>
      <w:r>
        <w:t>Conclusion</w:t>
      </w:r>
    </w:p>
    <w:p>
      <w:r>
        <w:t>The frontier in AI engineering is systems work: efficient adaptation, trustworthy retrieval, governed agents, and rigorous operations. Teams that instrument early, tune for cost and latency, and invest in data engines will ship resilient, differentiated AI products faster—and keep improving them with every trace and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