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0F172A"/>
        </w:rPr>
        <w:t>CUSTOMER STATEMENT OF REQUIREMENTS (SOR)</w:t>
      </w:r>
    </w:p>
    <w:p>
      <w:pPr>
        <w:jc w:val="center"/>
      </w:pPr>
      <w:r>
        <w:rPr>
          <w:i/>
          <w:sz w:val="24"/>
          <w:color w:val="475569"/>
        </w:rPr>
        <w:t>Hexense Labs Private Limited · Tata Motors Limited EV Fleet Division · Doc ID: HLPL-AI4T-SAL-SOR-01</w:t>
      </w:r>
    </w:p>
    <w:p>
      <w:r>
        <w:t/>
      </w:r>
    </w:p>
    <w:p>
      <w:r>
        <w:rPr>
          <w:b/>
          <w:sz w:val="28"/>
          <w:color w:val="1E293B"/>
        </w:rPr>
        <w:t>1.0 Scope &amp; Purpose</w:t>
      </w:r>
    </w:p>
    <w:p>
      <w:r>
        <w:rPr>
          <w:sz w:val="22"/>
          <w:color w:val="334155"/>
        </w:rPr>
        <w:t>This Customer Statement of Requirements (SOR) establishes the functional, environmental, and statutory requirements for the Tata Ace EV 4G AIS-140 Telematics Gateway (50,000 units).</w:t>
      </w:r>
    </w:p>
    <w:p>
      <w:r>
        <w:t/>
      </w:r>
    </w:p>
    <w:p>
      <w:r>
        <w:rPr>
          <w:b/>
          <w:sz w:val="28"/>
          <w:color w:val="1E293B"/>
        </w:rPr>
        <w:t>2.0 Hardware &amp; Environmental Specifications</w:t>
      </w:r>
    </w:p>
    <w:p>
      <w:r>
        <w:rPr>
          <w:sz w:val="22"/>
          <w:color w:val="334155"/>
        </w:rPr>
        <w:t>STM32 automotive MCU, Quectel 4G LTE Cat-1 cellular modem with 2G fallback, Indian NavIC/GPS positioning, 9V-36V operating voltage with ISO 7637-2 transient protection, IP67 enclosure, and CAN 2.0B / J1939 telematics bus.</w:t>
      </w:r>
    </w:p>
    <w:p>
      <w:r>
        <w:t/>
      </w:r>
    </w:p>
    <w:p>
      <w:r>
        <w:rPr>
          <w:b/>
          <w:sz w:val="28"/>
          <w:color w:val="1E293B"/>
        </w:rPr>
        <w:t>3.0 Quality Governance &amp; Standards</w:t>
      </w:r>
    </w:p>
    <w:p>
      <w:r>
        <w:rPr>
          <w:sz w:val="22"/>
          <w:color w:val="334155"/>
        </w:rPr>
        <w:t>Compliant with IATF 16949:2016 §8.2.1, ISO 9001:2015 §8.2, AIS-140 Annexure 3 &amp; 8, and ISO 16750-2 environmental tests.</w:t>
      </w:r>
    </w:p>
    <w:p>
      <w:r>
        <w:t/>
      </w:r>
    </w:p>
    <w:p>
      <w:r>
        <w:rPr>
          <w:b/>
          <w:sz w:val="28"/>
          <w:color w:val="1E293B"/>
        </w:rPr>
        <w:t>4.0 Commercial Deliverables</w:t>
      </w:r>
    </w:p>
    <w:p>
      <w:r>
        <w:rPr>
          <w:sz w:val="22"/>
          <w:color w:val="334155"/>
        </w:rPr>
        <w:t>Annual commitment: 50,000 units at ₹4,067 per unit. Total contract value: ₹20,33,50,000 ($2.45M). Batch 01 pilot: 5,000 units.</w:t>
      </w:r>
    </w:p>
    <w:p>
      <w:r>
        <w:t/>
      </w:r>
    </w:p>
    <w:p>
      <w:r>
        <w:rPr>
          <w:b/>
          <w:sz w:val="28"/>
          <w:color w:val="1E293B"/>
        </w:rPr>
        <w:t>5.0 Signatories &amp; Acceptance</w:t>
      </w:r>
    </w:p>
    <w:p>
      <w:r>
        <w:rPr>
          <w:sz w:val="22"/>
          <w:color w:val="334155"/>
        </w:rPr>
        <w:t>Authorized by Priya Sharma (Sales &amp; BD Lead), Avery Vale (Hardware Lead), and accepted by Rohan Verma (Tata Motors Fleet Manager).</w:t>
      </w:r>
    </w:p>
    <w:p>
      <w:r>
        <w:t/>
      </w:r>
    </w:p>
  </w:body>
</w:document>
</file>