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F172A"/>
        </w:rPr>
        <w:t>BILATERAL MUTUAL NON-DISCLOSURE AGREEMENT</w:t>
      </w:r>
    </w:p>
    <w:p>
      <w:pPr>
        <w:jc w:val="center"/>
      </w:pPr>
      <w:r>
        <w:rPr>
          <w:i/>
          <w:sz w:val="24"/>
          <w:color w:val="475569"/>
        </w:rPr>
        <w:t>Tata Motors Limited &amp; Hexense Labs Private Limited · Doc ID: HLPL-AI4T-SAL-mNDA-01</w:t>
      </w:r>
    </w:p>
    <w:p>
      <w:r>
        <w:t/>
      </w:r>
    </w:p>
    <w:p>
      <w:r>
        <w:rPr>
          <w:b/>
          <w:sz w:val="28"/>
          <w:color w:val="1E293B"/>
        </w:rPr>
        <w:t>1.0 Purpose</w:t>
      </w:r>
    </w:p>
    <w:p>
      <w:r>
        <w:rPr>
          <w:sz w:val="22"/>
          <w:color w:val="334155"/>
        </w:rPr>
        <w:t>Governing mutual exchange of proprietary automotive CAN protocol specifications, vehicle telemetry architectures, and battery management data under ISO/IEC 27001 §A.13.</w:t>
      </w:r>
    </w:p>
    <w:p>
      <w:r>
        <w:t/>
      </w:r>
    </w:p>
    <w:p>
      <w:r>
        <w:rPr>
          <w:b/>
          <w:sz w:val="28"/>
          <w:color w:val="1E293B"/>
        </w:rPr>
        <w:t>2.0 Confidential Information</w:t>
      </w:r>
    </w:p>
    <w:p>
      <w:r>
        <w:rPr>
          <w:sz w:val="22"/>
          <w:color w:val="334155"/>
        </w:rPr>
        <w:t>Includes schematics, Gerber files, firmware source code, commercial pricing tiers, and battery cell telemetry parameters.</w:t>
      </w:r>
    </w:p>
    <w:p>
      <w:r>
        <w:t/>
      </w:r>
    </w:p>
    <w:p>
      <w:r>
        <w:rPr>
          <w:b/>
          <w:sz w:val="28"/>
          <w:color w:val="1E293B"/>
        </w:rPr>
        <w:t>3.0 Term &amp; Obligations</w:t>
      </w:r>
    </w:p>
    <w:p>
      <w:r>
        <w:rPr>
          <w:sz w:val="22"/>
          <w:color w:val="334155"/>
        </w:rPr>
        <w:t>Valid for 5 years from execution date. Data must be stored on encrypted systems adhering to automotive ISO 27001 standards.</w:t>
      </w:r>
    </w:p>
    <w:p>
      <w:r>
        <w:t/>
      </w:r>
    </w:p>
  </w:body>
</w:document>
</file>