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Due Diligence Report</w:t>
      </w:r>
    </w:p>
    <w:p>
      <w:pPr>
        <w:pStyle w:val="Heading2"/>
      </w:pPr>
      <w:r>
        <w:t>GEPL-MOA-and-AOA-August.pdf</w:t>
      </w:r>
    </w:p>
    <w:p>
      <w:r>
        <w:t>Document Type: MOA</w:t>
      </w:r>
    </w:p>
    <w:p>
      <w:r>
        <w:t>Overall Risk: Medium</w:t>
      </w:r>
    </w:p>
    <w:p>
      <w:r>
        <w:t>High: 0, Medium: 4, Low: 1, Total: 5</w:t>
      </w:r>
    </w:p>
    <w:p>
      <w:pPr>
        <w:pStyle w:val="Heading2"/>
      </w:pPr>
      <w:r>
        <w:t>Thatikonda Narendra_AI_Developer_3Yrs+_Exp (2) (2).pdf</w:t>
      </w:r>
    </w:p>
    <w:p>
      <w:r>
        <w:t>Document Type: UNKNOWN</w:t>
      </w:r>
    </w:p>
    <w:p>
      <w:r>
        <w:t>Overall Risk: No Risk</w:t>
      </w:r>
    </w:p>
    <w:p>
      <w:r>
        <w:t>High: 0, Medium: 0, Low: 0, Total: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