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03CB9" w14:textId="13C8803C" w:rsidR="00FC30E1" w:rsidRPr="00FC30E1" w:rsidRDefault="00FC30E1" w:rsidP="00FC30E1">
      <w:pPr>
        <w:rPr>
          <w:b/>
          <w:bCs/>
          <w:sz w:val="44"/>
          <w:szCs w:val="44"/>
        </w:rPr>
      </w:pPr>
      <w:r w:rsidRPr="00FC30E1">
        <w:rPr>
          <w:b/>
          <w:bCs/>
          <w:sz w:val="44"/>
          <w:szCs w:val="44"/>
        </w:rPr>
        <w:t>REPORT:</w:t>
      </w:r>
      <w:r>
        <w:rPr>
          <w:b/>
          <w:bCs/>
          <w:sz w:val="44"/>
          <w:szCs w:val="44"/>
        </w:rPr>
        <w:t>-</w:t>
      </w:r>
    </w:p>
    <w:p w14:paraId="7F56B28A" w14:textId="466A342B" w:rsidR="00FC30E1" w:rsidRPr="00FC30E1" w:rsidRDefault="00FC30E1" w:rsidP="00FC30E1">
      <w:pPr>
        <w:rPr>
          <w:b/>
          <w:bCs/>
        </w:rPr>
      </w:pPr>
      <w:r w:rsidRPr="00FC30E1">
        <w:rPr>
          <w:b/>
          <w:bCs/>
        </w:rPr>
        <w:t>Key Metrics Summary</w:t>
      </w:r>
    </w:p>
    <w:p w14:paraId="3C0C4860" w14:textId="77777777" w:rsidR="00FC30E1" w:rsidRPr="00FC30E1" w:rsidRDefault="00FC30E1" w:rsidP="00FC30E1">
      <w:pPr>
        <w:numPr>
          <w:ilvl w:val="0"/>
          <w:numId w:val="1"/>
        </w:numPr>
      </w:pPr>
      <w:r w:rsidRPr="00FC30E1">
        <w:rPr>
          <w:b/>
          <w:bCs/>
        </w:rPr>
        <w:t xml:space="preserve">Total Patients </w:t>
      </w:r>
      <w:proofErr w:type="spellStart"/>
      <w:r w:rsidRPr="00FC30E1">
        <w:rPr>
          <w:b/>
          <w:bCs/>
        </w:rPr>
        <w:t>Analyzed</w:t>
      </w:r>
      <w:proofErr w:type="spellEnd"/>
      <w:r w:rsidRPr="00FC30E1">
        <w:t>: 5,191 patients are included in this analysis.</w:t>
      </w:r>
    </w:p>
    <w:p w14:paraId="3E41689C" w14:textId="77777777" w:rsidR="00FC30E1" w:rsidRPr="00FC30E1" w:rsidRDefault="00FC30E1" w:rsidP="00FC30E1">
      <w:pPr>
        <w:numPr>
          <w:ilvl w:val="0"/>
          <w:numId w:val="1"/>
        </w:numPr>
      </w:pPr>
      <w:r w:rsidRPr="00FC30E1">
        <w:rPr>
          <w:b/>
          <w:bCs/>
        </w:rPr>
        <w:t>Females Not Overweight</w:t>
      </w:r>
      <w:r w:rsidRPr="00FC30E1">
        <w:t>: 1,409 females are identified as not being overweight.</w:t>
      </w:r>
    </w:p>
    <w:p w14:paraId="6E570B6D" w14:textId="77777777" w:rsidR="00FC30E1" w:rsidRPr="00FC30E1" w:rsidRDefault="00FC30E1" w:rsidP="00FC30E1">
      <w:pPr>
        <w:numPr>
          <w:ilvl w:val="0"/>
          <w:numId w:val="1"/>
        </w:numPr>
      </w:pPr>
      <w:r w:rsidRPr="00FC30E1">
        <w:rPr>
          <w:b/>
          <w:bCs/>
        </w:rPr>
        <w:t>Health Risks Related to Smoking</w:t>
      </w:r>
      <w:r w:rsidRPr="00FC30E1">
        <w:t>: 37 patients show health risks associated with smoking habits.</w:t>
      </w:r>
    </w:p>
    <w:p w14:paraId="1C5E3DE0" w14:textId="77777777" w:rsidR="00FC30E1" w:rsidRPr="00FC30E1" w:rsidRDefault="00FC30E1" w:rsidP="00FC30E1">
      <w:pPr>
        <w:numPr>
          <w:ilvl w:val="0"/>
          <w:numId w:val="1"/>
        </w:numPr>
      </w:pPr>
      <w:r w:rsidRPr="00FC30E1">
        <w:rPr>
          <w:b/>
          <w:bCs/>
        </w:rPr>
        <w:t>High &amp; Moderate Health Risks with &lt;30 min Physical Activity</w:t>
      </w:r>
      <w:r w:rsidRPr="00FC30E1">
        <w:t>: 859 patients have either high or moderate health risks and engage in less than 30 minutes of physical activity.</w:t>
      </w:r>
    </w:p>
    <w:p w14:paraId="667875CB" w14:textId="77777777" w:rsidR="00FC30E1" w:rsidRPr="00FC30E1" w:rsidRDefault="00FC30E1" w:rsidP="00FC30E1">
      <w:pPr>
        <w:rPr>
          <w:b/>
          <w:bCs/>
        </w:rPr>
      </w:pPr>
      <w:r w:rsidRPr="00FC30E1">
        <w:rPr>
          <w:b/>
          <w:bCs/>
        </w:rPr>
        <w:t>Health Outcomes and Risks</w:t>
      </w:r>
    </w:p>
    <w:p w14:paraId="364BC829" w14:textId="77777777" w:rsidR="00FC30E1" w:rsidRPr="00FC30E1" w:rsidRDefault="00FC30E1" w:rsidP="00FC30E1">
      <w:pPr>
        <w:numPr>
          <w:ilvl w:val="0"/>
          <w:numId w:val="2"/>
        </w:numPr>
      </w:pPr>
      <w:r w:rsidRPr="00FC30E1">
        <w:rPr>
          <w:b/>
          <w:bCs/>
        </w:rPr>
        <w:t>Heart Attack Incidence</w:t>
      </w:r>
      <w:r w:rsidRPr="00FC30E1">
        <w:t>:</w:t>
      </w:r>
    </w:p>
    <w:p w14:paraId="144A9774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Only 2.74% (approximately 140 patients) have a history of heart attacks.</w:t>
      </w:r>
    </w:p>
    <w:p w14:paraId="0CA0E65B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97.26% have no record of heart attacks, indicating low incidence in this dataset.</w:t>
      </w:r>
    </w:p>
    <w:p w14:paraId="13B1E0CA" w14:textId="77777777" w:rsidR="00FC30E1" w:rsidRPr="00FC30E1" w:rsidRDefault="00FC30E1" w:rsidP="00FC30E1">
      <w:pPr>
        <w:numPr>
          <w:ilvl w:val="0"/>
          <w:numId w:val="2"/>
        </w:numPr>
      </w:pPr>
      <w:r w:rsidRPr="00FC30E1">
        <w:rPr>
          <w:b/>
          <w:bCs/>
        </w:rPr>
        <w:t>Stroke Incidence</w:t>
      </w:r>
      <w:r w:rsidRPr="00FC30E1">
        <w:t>:</w:t>
      </w:r>
    </w:p>
    <w:p w14:paraId="2A0973E9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Stroke occurrence is even lower at 1.73% (around 90 patients).</w:t>
      </w:r>
    </w:p>
    <w:p w14:paraId="47B072E8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This suggests a relatively low stroke rate within the studied population.</w:t>
      </w:r>
    </w:p>
    <w:p w14:paraId="57351023" w14:textId="77777777" w:rsidR="00FC30E1" w:rsidRPr="00FC30E1" w:rsidRDefault="00FC30E1" w:rsidP="00FC30E1">
      <w:pPr>
        <w:numPr>
          <w:ilvl w:val="0"/>
          <w:numId w:val="2"/>
        </w:numPr>
      </w:pPr>
      <w:r w:rsidRPr="00FC30E1">
        <w:rPr>
          <w:b/>
          <w:bCs/>
        </w:rPr>
        <w:t>Health Risk Distribution by Age Group</w:t>
      </w:r>
      <w:r w:rsidRPr="00FC30E1">
        <w:t>:</w:t>
      </w:r>
    </w:p>
    <w:p w14:paraId="29B8F119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The age groups 50-59 and 40-49 show the highest health risk counts, with approximately 1,800 and 1,700 patients respectively.</w:t>
      </w:r>
    </w:p>
    <w:p w14:paraId="37061284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Older age groups (60-69 and 70+) show a decreasing count, suggesting lower health risk engagement or possibly lower representation in these age groups.</w:t>
      </w:r>
    </w:p>
    <w:p w14:paraId="7F0121E6" w14:textId="77777777" w:rsidR="00FC30E1" w:rsidRPr="00FC30E1" w:rsidRDefault="00FC30E1" w:rsidP="00FC30E1">
      <w:pPr>
        <w:numPr>
          <w:ilvl w:val="0"/>
          <w:numId w:val="2"/>
        </w:numPr>
      </w:pPr>
      <w:r w:rsidRPr="00FC30E1">
        <w:rPr>
          <w:b/>
          <w:bCs/>
        </w:rPr>
        <w:t>Health Status</w:t>
      </w:r>
      <w:r w:rsidRPr="00FC30E1">
        <w:t>:</w:t>
      </w:r>
    </w:p>
    <w:p w14:paraId="697E6D7D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The majority of the population (3,800) falls under "Good" health.</w:t>
      </w:r>
    </w:p>
    <w:p w14:paraId="323B34D8" w14:textId="77777777" w:rsidR="00FC30E1" w:rsidRPr="00FC30E1" w:rsidRDefault="00FC30E1" w:rsidP="00FC30E1">
      <w:pPr>
        <w:numPr>
          <w:ilvl w:val="1"/>
          <w:numId w:val="2"/>
        </w:numPr>
      </w:pPr>
      <w:r w:rsidRPr="00FC30E1">
        <w:t>"Very Good" health status is significantly lower, indicating potential for health improvements.</w:t>
      </w:r>
    </w:p>
    <w:p w14:paraId="2467138B" w14:textId="77777777" w:rsidR="00FC30E1" w:rsidRPr="00FC30E1" w:rsidRDefault="00FC30E1" w:rsidP="00FC30E1">
      <w:pPr>
        <w:rPr>
          <w:b/>
          <w:bCs/>
        </w:rPr>
      </w:pPr>
      <w:r w:rsidRPr="00FC30E1">
        <w:rPr>
          <w:b/>
          <w:bCs/>
        </w:rPr>
        <w:t>Risk Factors and Demographic Insights</w:t>
      </w:r>
    </w:p>
    <w:p w14:paraId="21658381" w14:textId="77777777" w:rsidR="00FC30E1" w:rsidRPr="00FC30E1" w:rsidRDefault="00FC30E1" w:rsidP="00FC30E1">
      <w:pPr>
        <w:numPr>
          <w:ilvl w:val="0"/>
          <w:numId w:val="3"/>
        </w:numPr>
      </w:pPr>
      <w:r w:rsidRPr="00FC30E1">
        <w:rPr>
          <w:b/>
          <w:bCs/>
        </w:rPr>
        <w:t>Health Risk Severity</w:t>
      </w:r>
      <w:r w:rsidRPr="00FC30E1">
        <w:t>:</w:t>
      </w:r>
    </w:p>
    <w:p w14:paraId="4E72B4B1" w14:textId="77777777" w:rsidR="00FC30E1" w:rsidRPr="00FC30E1" w:rsidRDefault="00FC30E1" w:rsidP="00FC30E1">
      <w:pPr>
        <w:numPr>
          <w:ilvl w:val="1"/>
          <w:numId w:val="3"/>
        </w:numPr>
      </w:pPr>
      <w:r w:rsidRPr="00FC30E1">
        <w:t>3,090 patients are in the "Normal" risk category, followed by 1,590 in the "Moderate" risk category.</w:t>
      </w:r>
    </w:p>
    <w:p w14:paraId="218AD96C" w14:textId="77777777" w:rsidR="00FC30E1" w:rsidRPr="00FC30E1" w:rsidRDefault="00FC30E1" w:rsidP="00FC30E1">
      <w:pPr>
        <w:numPr>
          <w:ilvl w:val="1"/>
          <w:numId w:val="3"/>
        </w:numPr>
      </w:pPr>
      <w:r w:rsidRPr="00FC30E1">
        <w:t>Higher risk categories (High and Critical) represent a smaller percentage, with 380 and 110 patients respectively, suggesting that only a small fraction of the population is at severe risk.</w:t>
      </w:r>
    </w:p>
    <w:p w14:paraId="66C3C605" w14:textId="77777777" w:rsidR="00FC30E1" w:rsidRPr="00FC30E1" w:rsidRDefault="00FC30E1" w:rsidP="00FC30E1">
      <w:pPr>
        <w:numPr>
          <w:ilvl w:val="0"/>
          <w:numId w:val="3"/>
        </w:numPr>
      </w:pPr>
      <w:r w:rsidRPr="00FC30E1">
        <w:rPr>
          <w:b/>
          <w:bCs/>
        </w:rPr>
        <w:t>Overweight Status by Race</w:t>
      </w:r>
      <w:r w:rsidRPr="00FC30E1">
        <w:t>:</w:t>
      </w:r>
    </w:p>
    <w:p w14:paraId="7F909A16" w14:textId="77777777" w:rsidR="00FC30E1" w:rsidRPr="00FC30E1" w:rsidRDefault="00FC30E1" w:rsidP="00FC30E1">
      <w:pPr>
        <w:numPr>
          <w:ilvl w:val="1"/>
          <w:numId w:val="3"/>
        </w:numPr>
      </w:pPr>
      <w:r w:rsidRPr="00FC30E1">
        <w:lastRenderedPageBreak/>
        <w:t>Overweight prevalence is highest among the Chinese population with 2,100 individuals, followed by the Malay and Indian populations.</w:t>
      </w:r>
    </w:p>
    <w:p w14:paraId="697429E3" w14:textId="77777777" w:rsidR="00FC30E1" w:rsidRPr="00FC30E1" w:rsidRDefault="00FC30E1" w:rsidP="00FC30E1">
      <w:pPr>
        <w:numPr>
          <w:ilvl w:val="1"/>
          <w:numId w:val="3"/>
        </w:numPr>
      </w:pPr>
      <w:r w:rsidRPr="00FC30E1">
        <w:t>Other ethnic groups and those marked as "Others" show lower counts for overweight status.</w:t>
      </w:r>
    </w:p>
    <w:p w14:paraId="2877D8E3" w14:textId="77777777" w:rsidR="00FC30E1" w:rsidRPr="00FC30E1" w:rsidRDefault="00FC30E1" w:rsidP="00FC30E1">
      <w:pPr>
        <w:numPr>
          <w:ilvl w:val="0"/>
          <w:numId w:val="3"/>
        </w:numPr>
      </w:pPr>
      <w:r w:rsidRPr="00FC30E1">
        <w:rPr>
          <w:b/>
          <w:bCs/>
        </w:rPr>
        <w:t>Average Weight by Occupation and Gender</w:t>
      </w:r>
      <w:r w:rsidRPr="00FC30E1">
        <w:t>:</w:t>
      </w:r>
    </w:p>
    <w:p w14:paraId="18C833C4" w14:textId="77777777" w:rsidR="00FC30E1" w:rsidRPr="00FC30E1" w:rsidRDefault="00FC30E1" w:rsidP="00FC30E1">
      <w:pPr>
        <w:numPr>
          <w:ilvl w:val="1"/>
          <w:numId w:val="3"/>
        </w:numPr>
      </w:pPr>
      <w:r w:rsidRPr="00FC30E1">
        <w:t>Males with overweight status have a higher average weight (74.67), followed by females with overweight status (65.73).</w:t>
      </w:r>
    </w:p>
    <w:p w14:paraId="53769BA0" w14:textId="77777777" w:rsidR="00FC30E1" w:rsidRPr="00FC30E1" w:rsidRDefault="00FC30E1" w:rsidP="00FC30E1">
      <w:pPr>
        <w:numPr>
          <w:ilvl w:val="1"/>
          <w:numId w:val="3"/>
        </w:numPr>
      </w:pPr>
      <w:r w:rsidRPr="00FC30E1">
        <w:t>The "Not Overweight" category for both genders shows lower average weights, indicating a clear distinction in average weight by weight status and gender.</w:t>
      </w:r>
    </w:p>
    <w:p w14:paraId="083D3686" w14:textId="77777777" w:rsidR="00FC30E1" w:rsidRPr="00FC30E1" w:rsidRDefault="00FC30E1" w:rsidP="00FC30E1">
      <w:pPr>
        <w:rPr>
          <w:b/>
          <w:bCs/>
        </w:rPr>
      </w:pPr>
      <w:r w:rsidRPr="00FC30E1">
        <w:rPr>
          <w:b/>
          <w:bCs/>
        </w:rPr>
        <w:t>Potential Actions and Recommendations</w:t>
      </w:r>
    </w:p>
    <w:p w14:paraId="2F616DA6" w14:textId="77777777" w:rsidR="00FC30E1" w:rsidRPr="00FC30E1" w:rsidRDefault="00FC30E1" w:rsidP="00FC30E1">
      <w:pPr>
        <w:numPr>
          <w:ilvl w:val="0"/>
          <w:numId w:val="4"/>
        </w:numPr>
      </w:pPr>
      <w:r w:rsidRPr="00FC30E1">
        <w:rPr>
          <w:b/>
          <w:bCs/>
        </w:rPr>
        <w:t>Targeted Health Interventions</w:t>
      </w:r>
      <w:r w:rsidRPr="00FC30E1">
        <w:t>:</w:t>
      </w:r>
    </w:p>
    <w:p w14:paraId="47B85145" w14:textId="77777777" w:rsidR="00FC30E1" w:rsidRPr="00FC30E1" w:rsidRDefault="00FC30E1" w:rsidP="00FC30E1">
      <w:pPr>
        <w:numPr>
          <w:ilvl w:val="1"/>
          <w:numId w:val="4"/>
        </w:numPr>
      </w:pPr>
      <w:r w:rsidRPr="00FC30E1">
        <w:t>Age groups 40-59 could benefit from targeted health interventions, as they show higher health risks.</w:t>
      </w:r>
    </w:p>
    <w:p w14:paraId="0512A75A" w14:textId="77777777" w:rsidR="00FC30E1" w:rsidRPr="00FC30E1" w:rsidRDefault="00FC30E1" w:rsidP="00FC30E1">
      <w:pPr>
        <w:numPr>
          <w:ilvl w:val="0"/>
          <w:numId w:val="4"/>
        </w:numPr>
      </w:pPr>
      <w:r w:rsidRPr="00FC30E1">
        <w:rPr>
          <w:b/>
          <w:bCs/>
        </w:rPr>
        <w:t>Physical Activity Programs</w:t>
      </w:r>
      <w:r w:rsidRPr="00FC30E1">
        <w:t>:</w:t>
      </w:r>
    </w:p>
    <w:p w14:paraId="37AACEA9" w14:textId="77777777" w:rsidR="00FC30E1" w:rsidRPr="00FC30E1" w:rsidRDefault="00FC30E1" w:rsidP="00FC30E1">
      <w:pPr>
        <w:numPr>
          <w:ilvl w:val="1"/>
          <w:numId w:val="4"/>
        </w:numPr>
      </w:pPr>
      <w:r w:rsidRPr="00FC30E1">
        <w:t>With 859 individuals at risk due to low physical activity, promoting exercise and physical activity may help in reducing moderate and high health risks.</w:t>
      </w:r>
    </w:p>
    <w:p w14:paraId="2EC6EE41" w14:textId="77777777" w:rsidR="00FC30E1" w:rsidRPr="00FC30E1" w:rsidRDefault="00FC30E1" w:rsidP="00FC30E1">
      <w:pPr>
        <w:numPr>
          <w:ilvl w:val="0"/>
          <w:numId w:val="4"/>
        </w:numPr>
      </w:pPr>
      <w:r w:rsidRPr="00FC30E1">
        <w:rPr>
          <w:b/>
          <w:bCs/>
        </w:rPr>
        <w:t>Weight Management Programs</w:t>
      </w:r>
      <w:r w:rsidRPr="00FC30E1">
        <w:t>:</w:t>
      </w:r>
    </w:p>
    <w:p w14:paraId="20AF0AAF" w14:textId="77777777" w:rsidR="00FC30E1" w:rsidRPr="00FC30E1" w:rsidRDefault="00FC30E1" w:rsidP="00FC30E1">
      <w:pPr>
        <w:numPr>
          <w:ilvl w:val="1"/>
          <w:numId w:val="4"/>
        </w:numPr>
      </w:pPr>
      <w:r w:rsidRPr="00FC30E1">
        <w:t>Given the high count of overweight individuals, particularly among specific racial groups, weight management and nutrition programs could be beneficial.</w:t>
      </w:r>
    </w:p>
    <w:p w14:paraId="76399198" w14:textId="77777777" w:rsidR="00FC30E1" w:rsidRPr="00FC30E1" w:rsidRDefault="00FC30E1" w:rsidP="00FC30E1">
      <w:pPr>
        <w:numPr>
          <w:ilvl w:val="0"/>
          <w:numId w:val="4"/>
        </w:numPr>
      </w:pPr>
      <w:r w:rsidRPr="00FC30E1">
        <w:rPr>
          <w:b/>
          <w:bCs/>
        </w:rPr>
        <w:t>Health Monitoring for High-Risk Groups</w:t>
      </w:r>
      <w:r w:rsidRPr="00FC30E1">
        <w:t>:</w:t>
      </w:r>
    </w:p>
    <w:p w14:paraId="19937300" w14:textId="77777777" w:rsidR="00FC30E1" w:rsidRPr="00FC30E1" w:rsidRDefault="00FC30E1" w:rsidP="00FC30E1">
      <w:pPr>
        <w:numPr>
          <w:ilvl w:val="1"/>
          <w:numId w:val="4"/>
        </w:numPr>
      </w:pPr>
      <w:r w:rsidRPr="00FC30E1">
        <w:t>Regular monitoring and proactive healthcare measures may be necessary for the critical and high-risk categories to prevent progression to more severe conditions.</w:t>
      </w:r>
    </w:p>
    <w:p w14:paraId="48AF875D" w14:textId="77777777" w:rsidR="00FC30E1" w:rsidRPr="00FC30E1" w:rsidRDefault="00FC30E1" w:rsidP="00FC30E1">
      <w:r w:rsidRPr="00FC30E1">
        <w:t>This report provides an overview of health risks, demographic-specific insights, and actionable recommendations based on the data visualization. The primary focus should be on improving lifestyle factors and preventive health measures for high-risk groups and overweight populations</w:t>
      </w:r>
    </w:p>
    <w:p w14:paraId="473644E9" w14:textId="77777777" w:rsidR="00FC30E1" w:rsidRDefault="00FC30E1"/>
    <w:sectPr w:rsidR="00FC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0C61"/>
    <w:multiLevelType w:val="multilevel"/>
    <w:tmpl w:val="4576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77713"/>
    <w:multiLevelType w:val="multilevel"/>
    <w:tmpl w:val="E752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94F33"/>
    <w:multiLevelType w:val="multilevel"/>
    <w:tmpl w:val="1D7E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C6C47"/>
    <w:multiLevelType w:val="multilevel"/>
    <w:tmpl w:val="75C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363556">
    <w:abstractNumId w:val="0"/>
  </w:num>
  <w:num w:numId="2" w16cid:durableId="548567618">
    <w:abstractNumId w:val="1"/>
  </w:num>
  <w:num w:numId="3" w16cid:durableId="1537619280">
    <w:abstractNumId w:val="2"/>
  </w:num>
  <w:num w:numId="4" w16cid:durableId="1545555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1"/>
    <w:rsid w:val="00E64498"/>
    <w:rsid w:val="00F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6C79"/>
  <w15:chartTrackingRefBased/>
  <w15:docId w15:val="{053D604C-E6DA-4130-99E1-578E6AF8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5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narendrabanshkar@outlook.com</dc:creator>
  <cp:keywords/>
  <dc:description/>
  <cp:lastModifiedBy>narendrabanshkar@outlook.com</cp:lastModifiedBy>
  <cp:revision>1</cp:revision>
  <dcterms:created xsi:type="dcterms:W3CDTF">2024-10-29T19:45:00Z</dcterms:created>
  <dcterms:modified xsi:type="dcterms:W3CDTF">2024-10-29T19:49:00Z</dcterms:modified>
</cp:coreProperties>
</file>