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600"/>
        <w:jc w:val="center"/>
      </w:pPr>
      <w:r>
        <w:rPr>
          <w:rFonts w:ascii="Calibri" w:hAnsi="Calibri"/>
          <w:b/>
          <w:i w:val="0"/>
          <w:color w:val="595959"/>
          <w:sz w:val="26"/>
        </w:rPr>
        <w:t>FRESHWATER INSTRUMENTS</w:t>
      </w:r>
    </w:p>
    <w:p>
      <w:pPr>
        <w:spacing w:after="120"/>
        <w:jc w:val="center"/>
      </w:pPr>
      <w:r>
        <w:rPr>
          <w:rFonts w:ascii="Cambria" w:hAnsi="Cambria"/>
          <w:b/>
          <w:i w:val="0"/>
          <w:sz w:val="56"/>
        </w:rPr>
        <w:t>Synthesizer Effect Card</w:t>
      </w:r>
    </w:p>
    <w:p>
      <w:pPr>
        <w:spacing w:after="840"/>
        <w:jc w:val="center"/>
      </w:pPr>
      <w:r>
        <w:rPr>
          <w:rFonts w:ascii="Cambria" w:hAnsi="Cambria"/>
          <w:b w:val="0"/>
          <w:i w:val="0"/>
          <w:color w:val="595959"/>
          <w:sz w:val="34"/>
        </w:rPr>
        <w:t>Datasheet</w:t>
      </w:r>
    </w:p>
    <w:p>
      <w:pPr>
        <w:spacing w:after="80"/>
        <w:jc w:val="center"/>
      </w:pPr>
      <w:r>
        <w:rPr>
          <w:rFonts w:ascii="Cambria" w:hAnsi="Cambria"/>
          <w:b w:val="0"/>
          <w:i w:val="0"/>
          <w:sz w:val="23"/>
        </w:rPr>
        <w:t>Preliminary</w:t>
      </w:r>
    </w:p>
    <w:p>
      <w:pPr>
        <w:spacing w:after="1400"/>
        <w:jc w:val="center"/>
      </w:pPr>
      <w:r>
        <w:rPr>
          <w:rFonts w:ascii="Cambria" w:hAnsi="Cambria"/>
          <w:b w:val="0"/>
          <w:i w:val="0"/>
          <w:color w:val="595959"/>
          <w:sz w:val="22"/>
        </w:rPr>
        <w:t>Document FW-DS-102, Revision 1.0, July 2026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17"/>
      </w:tblGrid>
      <w:tr>
        <w:tc>
          <w:tcPr>
            <w:tcW w:type="dxa" w:w="9317"/>
            <w:shd w:val="clear" w:fill="F2F2F2"/>
          </w:tcPr>
          <w:p>
            <w:pPr>
              <w:spacing w:before="120" w:after="40"/>
            </w:pPr>
            <w:r/>
            <w:r>
              <w:rPr>
                <w:rFonts w:ascii="Cambria" w:hAnsi="Cambria"/>
                <w:b/>
                <w:sz w:val="21"/>
              </w:rPr>
              <w:t>About this datasheet</w:t>
            </w:r>
          </w:p>
          <w:p>
            <w:pPr>
              <w:spacing w:after="120"/>
            </w:pPr>
            <w:r>
              <w:rPr>
                <w:rFonts w:ascii="Cambria" w:hAnsi="Cambria"/>
                <w:sz w:val="21"/>
              </w:rPr>
              <w:t>Preliminary datasheet for the Effect Card. A few system-level items (final render rate, physical details) are still being settled and are marked TBD. Full operating detail is in FW-UM-102; firmware internals in FW-EN-001.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0"/>
      </w:pPr>
      <w:r>
        <w:rPr>
          <w:rFonts w:ascii="Calibri" w:hAnsi="Calibri"/>
          <w:b/>
          <w:i w:val="0"/>
          <w:sz w:val="32"/>
        </w:rPr>
        <w:t>Contents</w:t>
      </w:r>
    </w:p>
    <w:p>
      <w:r>
        <w:fldChar w:fldCharType="begin"/>
        <w:instrText xml:space="preserve">TOC \o "1-2" \h \z \u</w:instrText>
        <w:fldChar w:fldCharType="separate"/>
        <w:t>Table of contents. In Word, select this line and press F9 to populate it.</w:t>
        <w:fldChar w:fldCharType="end"/>
      </w:r>
    </w:p>
    <w:p>
      <w:r>
        <w:br w:type="page"/>
      </w:r>
    </w:p>
    <w:p>
      <w:pPr>
        <w:pStyle w:val="Heading1"/>
      </w:pPr>
      <w:r>
        <w:t>1. Product Overview</w:t>
      </w:r>
    </w:p>
    <w:p>
      <w:pPr>
        <w:pStyle w:val="Heading2"/>
      </w:pPr>
      <w:r>
        <w:t>1.1 Description</w:t>
      </w:r>
    </w:p>
    <w:p>
      <w:pPr>
        <w:spacing w:after="120"/>
      </w:pPr>
      <w:r>
        <w:rPr>
          <w:rFonts w:ascii="Cambria" w:hAnsi="Cambria"/>
          <w:b w:val="0"/>
          <w:i w:val="0"/>
          <w:sz w:val="21"/>
        </w:rPr>
        <w:t>The Effect Card is the capture and mixing hub of the synthesizer system. Two four-channel TLV320ADC6140 converters digitise eight analogue inputs onto a shared TDM bus; the processor de-interleaves, mixes, and processes the channels. The card also supervises the 48 V phantom supply for the microphone input path.</w:t>
      </w:r>
    </w:p>
    <w:p>
      <w:pPr>
        <w:pStyle w:val="Heading2"/>
      </w:pPr>
      <w:r>
        <w:t>1.2 Specifications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59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Parameter</w:t>
            </w:r>
          </w:p>
        </w:tc>
        <w:tc>
          <w:tcPr>
            <w:tcW w:type="dxa" w:w="3744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Value</w:t>
            </w:r>
          </w:p>
        </w:tc>
        <w:tc>
          <w:tcPr>
            <w:tcW w:type="dxa" w:w="288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Notes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Processor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STM32H743 (Arm Cortex-M7)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Audio converters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2 x TLV320ADC6140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I2C 0x4C / 0x4D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Analogue inputs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8, simultaneous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TDM, 32-bit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Capture rate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96 kHz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system-level rate TBD (96 or 192 kHz)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Mixing and effects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8-channel mix engine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planned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Stereo output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codec bus reserved on the board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Phantom power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48 V, supervised power-good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console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115200 baud 8N1, address e: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Firmware update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bootloader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BOOT switch and reset</w:t>
            </w:r>
          </w:p>
        </w:tc>
      </w:tr>
    </w:tbl>
    <w:p>
      <w:pPr>
        <w:spacing w:after="40"/>
      </w:pPr>
    </w:p>
    <w:p>
      <w:pPr>
        <w:pStyle w:val="Heading1"/>
      </w:pPr>
      <w:r>
        <w:t>2. Block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ect_cap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mbria" w:hAnsi="Cambria"/>
          <w:b w:val="0"/>
          <w:i/>
          <w:color w:val="595959"/>
          <w:sz w:val="19"/>
        </w:rPr>
        <w:t>Figure 1. Capture path.</w:t>
      </w:r>
    </w:p>
    <w:p>
      <w:pPr>
        <w:pStyle w:val="Heading1"/>
      </w:pPr>
      <w:r>
        <w:t>3. Input Channel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Inputs</w:t>
            </w:r>
          </w:p>
        </w:tc>
        <w:tc>
          <w:tcPr>
            <w:tcW w:type="dxa" w:w="259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Converter</w:t>
            </w:r>
          </w:p>
        </w:tc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I2C address</w:t>
            </w:r>
          </w:p>
        </w:tc>
        <w:tc>
          <w:tcPr>
            <w:tcW w:type="dxa" w:w="259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TDM slots</w:t>
            </w:r>
          </w:p>
        </w:tc>
        <w:tc>
          <w:tcPr>
            <w:tcW w:type="dxa" w:w="1872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Selected with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IN1 to IN4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TLV320ADC6140 no. 1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0x4C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0 to 3 on data line SD_B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usb ch 1..4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IN5 to IN8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TLV320ADC6140 no. 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0x4D</w:t>
            </w:r>
          </w:p>
        </w:tc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0 to 3 on data line SD_A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usb ch 5..8</w:t>
            </w:r>
          </w:p>
        </w:tc>
      </w:tr>
    </w:tbl>
    <w:p>
      <w:pPr>
        <w:spacing w:after="40"/>
      </w:pPr>
    </w:p>
    <w:p>
      <w:pPr>
        <w:pStyle w:val="Heading1"/>
      </w:pPr>
      <w:r>
        <w:t>4. Control Reference</w:t>
      </w:r>
    </w:p>
    <w:p>
      <w:pPr>
        <w:pStyle w:val="Heading2"/>
      </w:pPr>
      <w:r>
        <w:t>4.1 Phantom rail truth 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16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EN_48V (PC6)</w:t>
            </w:r>
          </w:p>
        </w:tc>
        <w:tc>
          <w:tcPr>
            <w:tcW w:type="dxa" w:w="216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PG_48V (PC7)</w:t>
            </w:r>
          </w:p>
        </w:tc>
        <w:tc>
          <w:tcPr>
            <w:tcW w:type="dxa" w:w="4896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Any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Rail disabled (power-up default)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High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Rail enabled, supply good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High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Low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Fault: rail enabled but supply not good. Switch the rail off and investigate.</w:t>
            </w:r>
          </w:p>
        </w:tc>
      </w:tr>
    </w:tbl>
    <w:p>
      <w:pPr>
        <w:spacing w:after="40"/>
      </w:pPr>
    </w:p>
    <w:p>
      <w:pPr>
        <w:pStyle w:val="Heading2"/>
      </w:pPr>
      <w:r>
        <w:t>4.2 Audio domain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4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Signal</w:t>
            </w:r>
          </w:p>
        </w:tc>
        <w:tc>
          <w:tcPr>
            <w:tcW w:type="dxa" w:w="172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MCU pin</w:t>
            </w:r>
          </w:p>
        </w:tc>
        <w:tc>
          <w:tcPr>
            <w:tcW w:type="dxa" w:w="50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Function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AUDIO_EN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PA7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Releases both converters from hardware shutdown; asserted at power-up. Converters do not respond on I2C while low.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ADC1_INT / ADC2_INT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PC4 / PC5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Converter interrupt lines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INPUT_SW1 / INPUT_SW2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sz w:val="20"/>
              </w:rPr>
              <w:t>PB15 / PB14</w:t>
            </w:r>
          </w:p>
        </w:tc>
        <w:tc>
          <w:tcPr>
            <w:tcW w:type="dxa" w:w="50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Input path switching</w:t>
            </w:r>
          </w:p>
        </w:tc>
      </w:tr>
    </w:tbl>
    <w:p>
      <w:pPr>
        <w:spacing w:after="40"/>
      </w:pPr>
    </w:p>
    <w:p>
      <w:pPr>
        <w:pStyle w:val="Heading1"/>
      </w:pPr>
      <w:r>
        <w:t>5. System Integration</w:t>
      </w:r>
    </w:p>
    <w:p>
      <w:pPr>
        <w:spacing w:after="120"/>
      </w:pPr>
      <w:r>
        <w:rPr>
          <w:rFonts w:ascii="Cambria" w:hAnsi="Cambria"/>
          <w:b w:val="0"/>
          <w:i w:val="0"/>
          <w:sz w:val="21"/>
        </w:rPr>
        <w:t>The card runs under the CPU card (Rockchip), which handles voice allocation. RS-485 carries the real-time voice and control traffic; USB carries bulk data such as sample uploads, where its buffering suits large transfers.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Function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Transport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Voice / control commands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from the CPU card; low-latency, deterministic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Sample and bulk data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from the CPU card; buffered, suited to large transfers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Maintenance console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RS-485 (address e:) and USB CDC, same command set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Firmware update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USB bootloader (BOOT switch, reset)</w:t>
            </w:r>
          </w:p>
        </w:tc>
      </w:tr>
    </w:tbl>
    <w:p>
      <w:pPr>
        <w:spacing w:after="40"/>
      </w:pPr>
    </w:p>
    <w:p>
      <w:pPr>
        <w:pStyle w:val="Heading1"/>
      </w:pPr>
      <w:r>
        <w:t>6. Power and Physical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Parameter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Supply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Power consumption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Dimensions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Connectors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Mounting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TBD</w:t>
            </w:r>
          </w:p>
        </w:tc>
      </w:tr>
    </w:tbl>
    <w:p>
      <w:pPr>
        <w:spacing w:after="40"/>
      </w:pP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1440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Revision</w:t>
            </w:r>
          </w:p>
        </w:tc>
        <w:tc>
          <w:tcPr>
            <w:tcW w:type="dxa" w:w="172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Date</w:t>
            </w:r>
          </w:p>
        </w:tc>
        <w:tc>
          <w:tcPr>
            <w:tcW w:type="dxa" w:w="6048"/>
            <w:shd w:val="clear" w:fill="E7E7E7"/>
          </w:tcPr>
          <w:p>
            <w:pPr>
              <w:spacing w:after="40" w:before="40"/>
            </w:pPr>
            <w:r/>
            <w:r>
              <w:rPr>
                <w:rFonts w:ascii="Cambria" w:hAnsi="Cambria"/>
                <w:b/>
                <w:sz w:val="20"/>
              </w:rPr>
              <w:t>Changes</w:t>
            </w:r>
          </w:p>
        </w:tc>
      </w:tr>
      <w:tr>
        <w:tc>
          <w:tcPr>
            <w:tcW w:type="dxa" w:w="1440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1.0</w:t>
            </w:r>
          </w:p>
        </w:tc>
        <w:tc>
          <w:tcPr>
            <w:tcW w:type="dxa" w:w="172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July 2026</w:t>
            </w:r>
          </w:p>
        </w:tc>
        <w:tc>
          <w:tcPr>
            <w:tcW w:type="dxa" w:w="6048"/>
          </w:tcPr>
          <w:p>
            <w:pPr>
              <w:spacing w:after="40" w:before="40"/>
            </w:pPr>
            <w:r/>
            <w:r>
              <w:rPr>
                <w:rFonts w:ascii="Cambria" w:hAnsi="Cambria"/>
                <w:b w:val="0"/>
                <w:sz w:val="20"/>
              </w:rPr>
              <w:t>Initial release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296" w:right="1296" w:bottom="1296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sz w:val="19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/>
        <w:color w:val="595959"/>
        <w:sz w:val="17"/>
      </w:rPr>
      <w:t>FreshWater Instruments   Effect Card Datasheet   FW-DS-102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FreshWater Effect Card Datasheet</dc:title>
  <dc:subject/>
  <dc:creator>FreshWater Instruments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