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before="240"/>
        <w:jc w:val="center"/>
      </w:pPr>
      <w:r>
        <w:t xml:space="preserve">The Impact of Digital Technology on Education</w:t>
      </w:r>
    </w:p>
    <w:p>
      <w:pPr>
        <w:spacing w:after="360"/>
        <w:jc w:val="center"/>
      </w:pPr>
      <w:r>
        <w:rPr>
          <w:i/>
          <w:iCs/>
          <w:color w:val="555555"/>
          <w:sz w:val="24"/>
          <w:szCs w:val="24"/>
        </w:rPr>
        <w:t xml:space="preserve">Promise, Peril, and the Architecture of Modern Learning</w:t>
      </w:r>
    </w:p>
    <w:p>
      <w:pPr>
        <w:spacing w:after="480"/>
        <w:jc w:val="center"/>
      </w:pPr>
      <w:r>
        <w:rPr>
          <w:b/>
          <w:bCs/>
        </w:rPr>
        <w:t xml:space="preserve">Author: </w:t>
      </w:r>
      <w:r>
        <w:t xml:space="preserve">Dr. Elena Vance &amp; Academic Research Group  |  </w:t>
      </w:r>
      <w:r>
        <w:rPr>
          <w:b/>
          <w:bCs/>
        </w:rPr>
        <w:t xml:space="preserve">Date: </w:t>
      </w:r>
      <w:r>
        <w:t xml:space="preserve">October 19, 2026  |  </w:t>
      </w:r>
      <w:r>
        <w:rPr>
          <w:b/>
          <w:bCs/>
        </w:rPr>
        <w:t xml:space="preserve">Category: </w:t>
      </w:r>
      <w:r>
        <w:t xml:space="preserve">Educational Technology &amp; Policy</w:t>
      </w:r>
    </w:p>
    <w:p>
      <w:pPr>
        <w:pBdr>
          <w:bottom w:val="single" w:color="CCCCCC" w:sz="6" w:space="1"/>
        </w:pBdr>
        <w:spacing w:after="360"/>
      </w:pPr>
    </w:p>
    <w:p>
      <w:pPr>
        <w:pStyle w:val="Heading1"/>
        <w:spacing w:after="120" w:before="360"/>
      </w:pPr>
      <w:r>
        <w:t xml:space="preserve">Introduction: The Architecture of Modern Learning</w:t>
      </w:r>
    </w:p>
    <w:p>
      <w:pPr>
        <w:spacing w:after="200"/>
      </w:pPr>
      <w:r>
        <w:rPr>
          <w:i/>
          <w:iCs/>
          <w:color w:val="444444"/>
          <w:sz w:val="22"/>
          <w:szCs w:val="22"/>
        </w:rPr>
        <w:t xml:space="preserve">How the convergence of silicon, connectivity, and cognitive science is restructuring the classroom.</w:t>
      </w:r>
    </w:p>
    <w:p>
      <w:pPr>
        <w:spacing w:after="180" w:line="300"/>
      </w:pPr>
      <w:r>
        <w:rPr>
          <w:sz w:val="23"/>
          <w:szCs w:val="23"/>
        </w:rPr>
        <w:t xml:space="preserve">For centuries, the fundamental architecture of human education remained remarkably unchanged: a single instructor standing before an assembly of age-segregated students, interpreting static codices, and transmitting knowledge through oral lectures and chalk on slate. Today, that monolithic pedagogical framework is undergoing its most profound structural realignment since Johannes Gutenberg introduced the movable type press to fifteenth-century Europe.</w:t>
      </w:r>
    </w:p>
    <w:p>
      <w:pPr>
        <w:spacing w:after="180" w:line="300"/>
      </w:pPr>
      <w:r>
        <w:rPr>
          <w:sz w:val="23"/>
          <w:szCs w:val="23"/>
        </w:rPr>
        <w:t xml:space="preserve">The rapid penetration of digital technology—spanning high-speed broadband, cloud computing infrastructure, adaptive learning algorithms, and multimodal artificial intelligence—has transformed education from an episodic, location-dependent ritual into a continuous, decentralized ecosystem. Students now routinely collaborate across continents, dissect three-dimensional protein structures inside web browsers, and receive instantaneous algorithmic feedback on mathematical derivations at two o'clock in the morning.</w:t>
      </w:r>
    </w:p>
    <w:p>
      <w:pPr>
        <w:spacing w:after="180" w:line="300"/>
      </w:pPr>
      <w:r>
        <w:rPr>
          <w:sz w:val="23"/>
          <w:szCs w:val="23"/>
        </w:rPr>
        <w:t xml:space="preserve">Yet this profound transformation is neither purely utopian nor uniformly benign. As digital tools become deeply woven into national curricula, educators, cognitive scientists, and policymakers are confronted with contradictory realities. On one hand, technology holds the luminous promise of radical democratization, bespoke personal tutoring, and the liberation of marginalized intellects. On the other, it introduces stark new socioeconomic divides, alarming cognitive fragmentation, pervasive commercial surveillance, and the potential erosion of the empathetic human relationship at the very core of instruction.</w:t>
      </w:r>
    </w:p>
    <w:p>
      <w:pPr>
        <w:spacing w:after="180" w:line="300"/>
      </w:pPr>
      <w:r>
        <w:rPr>
          <w:sz w:val="23"/>
          <w:szCs w:val="23"/>
        </w:rPr>
        <w:t xml:space="preserve">This essay presents a comprehensive inquiry into the impact of digital technology on contemporary education. By interrogating empirical data from global educational institutions, examining cognitive trade-offs, and analyzing emerging human-centered pedagogical models, we aim to map both the transformative opportunities and the systemic vulnerabilities of our digitized classrooms.</w:t>
      </w:r>
    </w:p>
    <w:p>
      <w:pPr>
        <w:pBdr>
          <w:left w:val="single" w:color="B08968" w:sz="18" w:space="12"/>
        </w:pBdr>
        <w:spacing w:after="240" w:before="200"/>
        <w:ind w:left="720" w:right="720"/>
      </w:pPr>
      <w:r>
        <w:rPr>
          <w:b/>
          <w:bCs/>
          <w:i/>
          <w:iCs/>
          <w:color w:val="2C3E50"/>
          <w:sz w:val="23"/>
          <w:szCs w:val="23"/>
        </w:rPr>
        <w:t xml:space="preserve">“Technology can amplify great teaching, but great technology cannot replace poor teaching. The future belongs not to machines, but to educators empowered by them.”</w:t>
      </w:r>
      <w:r>
        <w:rPr>
          <w:i/>
          <w:iCs/>
          <w:color w:val="666666"/>
          <w:sz w:val="20"/>
          <w:szCs w:val="20"/>
        </w:rPr>
        <w:t xml:space="preserve">
— UNESCO Global Education Monitoring Directorate</w:t>
      </w:r>
    </w:p>
    <w:p>
      <w:pPr>
        <w:pStyle w:val="Heading1"/>
        <w:spacing w:after="120" w:before="360"/>
      </w:pPr>
      <w:r>
        <w:t xml:space="preserve">01. The Democratization of Knowledge and Universal Reach</w:t>
      </w:r>
    </w:p>
    <w:p>
      <w:pPr>
        <w:spacing w:after="200"/>
      </w:pPr>
      <w:r>
        <w:rPr>
          <w:i/>
          <w:iCs/>
          <w:color w:val="444444"/>
          <w:sz w:val="22"/>
          <w:szCs w:val="22"/>
        </w:rPr>
        <w:t xml:space="preserve">Overcoming geographic isolation through open courseware and decentralized repositories.</w:t>
      </w:r>
    </w:p>
    <w:p>
      <w:pPr>
        <w:spacing w:after="180" w:line="300"/>
      </w:pPr>
      <w:r>
        <w:rPr>
          <w:sz w:val="23"/>
          <w:szCs w:val="23"/>
        </w:rPr>
        <w:t xml:space="preserve">The most visible triumph of the digital educational revolution is the unprecedented democratization of intellectual capital. Throughout most of recorded history, access to cutting-edge scholarship, premier faculty, and comprehensive research archives was strictly gatekept by geography, social caste, and exorbitant tuition fees. A student residing in a rural township in Sub-Saharan Africa or an agrarian village in South Asia possessed virtually no conduit to the lectures delivered at Oxford, Cambridge, or the Massachusetts Institute of Technology.</w:t>
      </w:r>
    </w:p>
    <w:p>
      <w:pPr>
        <w:spacing w:after="180" w:line="300"/>
      </w:pPr>
      <w:r>
        <w:rPr>
          <w:sz w:val="23"/>
          <w:szCs w:val="23"/>
        </w:rPr>
        <w:t xml:space="preserve">The advent of Massive Open Online Courses (MOOCs) and Open Educational Resources (OER) has shattered these historical walls. Pioneering initiatives such as MIT OpenCourseWare, Khan Academy, Coursera, and edX have converted world-class university curricula into public utilities. According to UNESCO's 2023 Global Education Monitoring Report, more than 220 million learners across the globe have enrolled in open digital courses, acquiring credentials in computational biology, data science, and renewable energy engineering without ever setting foot on a university campus.</w:t>
      </w:r>
    </w:p>
    <w:p>
      <w:pPr>
        <w:spacing w:after="180" w:line="300"/>
      </w:pPr>
      <w:r>
        <w:rPr>
          <w:sz w:val="23"/>
          <w:szCs w:val="23"/>
        </w:rPr>
        <w:t xml:space="preserve">Beyond formal university coursework, digital platforms have catalyzed a vibrant culture of informal, peer-driven autodidacticism. Collaborative developer repositories on GitHub, interactive language platforms like Duolingo, and curated educational video series on YouTube empower independent learners to master complex skills autonomously. In crisis zones, natural disasters, and geopolitical conflicts—where physical schools are routinely shuttered or destroyed—digital infrastructure has served as an indispensable lifeline for educational continuity, preserving the academic progression of millions of displaced children.</w:t>
      </w:r>
    </w:p>
    <w:p>
      <w:pPr>
        <w:pStyle w:val="Heading1"/>
        <w:spacing w:after="120" w:before="360"/>
      </w:pPr>
      <w:r>
        <w:t xml:space="preserve">02. Adaptive Learning Engines and Intelligent Scaffolding</w:t>
      </w:r>
    </w:p>
    <w:p>
      <w:pPr>
        <w:spacing w:after="200"/>
      </w:pPr>
      <w:r>
        <w:rPr>
          <w:i/>
          <w:iCs/>
          <w:color w:val="444444"/>
          <w:sz w:val="22"/>
          <w:szCs w:val="22"/>
        </w:rPr>
        <w:t xml:space="preserve">The transition from assembly-line instruction to real-time cognitive personalization.</w:t>
      </w:r>
    </w:p>
    <w:p>
      <w:pPr>
        <w:spacing w:after="180" w:line="300"/>
      </w:pPr>
      <w:r>
        <w:rPr>
          <w:sz w:val="23"/>
          <w:szCs w:val="23"/>
        </w:rPr>
        <w:t xml:space="preserve">Traditional schooling has long been plagued by the tyranny of the median. In a classroom of thirty students, an instructor inevitably pitches lessons to the average comprehension level, inevitably boring gifted learners who have already mastered the material while stranding struggling students who lack foundational prerequisites. The educational philosopher Benjamin Bloom famously identified the '2 Sigma Problem' in 1984: students taught through one-on-one mastery tutoring performed two standard deviations better than those taught in conventional classrooms.</w:t>
      </w:r>
    </w:p>
    <w:p>
      <w:pPr>
        <w:spacing w:after="180" w:line="300"/>
      </w:pPr>
      <w:r>
        <w:rPr>
          <w:sz w:val="23"/>
          <w:szCs w:val="23"/>
        </w:rPr>
        <w:t xml:space="preserve">Digital adaptive learning technologies represent the closest technological approximation to scaling Bloom's one-on-one tutor. Powered by continuous formative assessments and Bayesian knowledge tracing algorithms, contemporary platforms dynamically modulate the difficulty, cadence, and modality of content based on individual student interactions. If an intelligent tutoring system detects that a pupil hesitates on fractional exponents, it automatically branches into visual remediation before allowing the student to attempt advanced quadratic functions.</w:t>
      </w:r>
    </w:p>
    <w:p>
      <w:pPr>
        <w:spacing w:after="180" w:line="300"/>
      </w:pPr>
      <w:r>
        <w:rPr>
          <w:sz w:val="23"/>
          <w:szCs w:val="23"/>
        </w:rPr>
        <w:t xml:space="preserve">Empirical evaluations substantiate this transformative potential. The OECD Digital Education Outlook (2023) highlights that students utilizing intelligent tutoring software in secondary mathematics exhibited cognitive gains equivalent to an additional three to five months of standard instruction over a single academic year. Rather than replacing the teacher, these algorithmic diagnostic tools generate comprehensive learning analytics dashboards, alerting educators to specific conceptual misconceptions before they harden into permanent academic deficits.</w:t>
      </w:r>
    </w:p>
    <w:p>
      <w:pPr>
        <w:pBdr>
          <w:left w:val="single" w:color="B08968" w:sz="18" w:space="12"/>
        </w:pBdr>
        <w:spacing w:after="240" w:before="200"/>
        <w:ind w:left="720" w:right="720"/>
      </w:pPr>
      <w:r>
        <w:rPr>
          <w:b/>
          <w:bCs/>
          <w:i/>
          <w:iCs/>
          <w:color w:val="2C3E50"/>
          <w:sz w:val="23"/>
          <w:szCs w:val="23"/>
        </w:rPr>
        <w:t xml:space="preserve">“Adaptive software does not just grade answers; it interrogates the student's cognitive path, turning failure from a punitive mark into an illuminating diagnostic signal.”</w:t>
      </w:r>
      <w:r>
        <w:rPr>
          <w:i/>
          <w:iCs/>
          <w:color w:val="666666"/>
          <w:sz w:val="20"/>
          <w:szCs w:val="20"/>
        </w:rPr>
        <w:t xml:space="preserve">
— OECD Center for Educational Research and Innovation</w:t>
      </w:r>
    </w:p>
    <w:p>
      <w:pPr>
        <w:pStyle w:val="Heading1"/>
        <w:spacing w:after="120" w:before="360"/>
      </w:pPr>
      <w:r>
        <w:t xml:space="preserve">03. Immersive Pedagogies, Simulation, and Global Collaboration</w:t>
      </w:r>
    </w:p>
    <w:p>
      <w:pPr>
        <w:spacing w:after="200"/>
      </w:pPr>
      <w:r>
        <w:rPr>
          <w:i/>
          <w:iCs/>
          <w:color w:val="444444"/>
          <w:sz w:val="22"/>
          <w:szCs w:val="22"/>
        </w:rPr>
        <w:t xml:space="preserve">Transcending the passive textbook through dynamic virtual laboratories and peer networks.</w:t>
      </w:r>
    </w:p>
    <w:p>
      <w:pPr>
        <w:spacing w:after="180" w:line="300"/>
      </w:pPr>
      <w:r>
        <w:rPr>
          <w:sz w:val="23"/>
          <w:szCs w:val="23"/>
        </w:rPr>
        <w:t xml:space="preserve">Beyond mere personalization, digital technology has fundamentally altered the texture of educational engagement through simulation and virtual laboratories. In traditional scientific education, hands-on experimentation was constrained by chemical hazards, prohibitive equipment costs, and finite laboratory hours. Today, virtual sandbox environments like PhET Interactive Simulations, Labster, and browser-based 3D modeling tools allow students to manipulate atomic orbitals, alter gravitational constants, or dissect virtual organisms with zero physical overhead.</w:t>
      </w:r>
    </w:p>
    <w:p>
      <w:pPr>
        <w:spacing w:after="180" w:line="300"/>
      </w:pPr>
      <w:r>
        <w:rPr>
          <w:sz w:val="23"/>
          <w:szCs w:val="23"/>
        </w:rPr>
        <w:t xml:space="preserve">These experiential simulations instantiate constructivist learning theories advanced by Jean Piaget and Seymour Papert: students do not passively absorb abstract theorems; they build mental models through direct iterative trial, failure, and manipulation. A physics student can simulate kinetic friction across thousands of virtual terrain variations in minutes, developing intuitive mechanistic comprehension far faster than textbook diagrams permit.</w:t>
      </w:r>
    </w:p>
    <w:p>
      <w:pPr>
        <w:spacing w:after="180" w:line="300"/>
      </w:pPr>
      <w:r>
        <w:rPr>
          <w:sz w:val="23"/>
          <w:szCs w:val="23"/>
        </w:rPr>
        <w:t xml:space="preserve">Simultaneously, synchronous communication suites and collaborative workspaces have transformed learning from an isolated, solitary endeavor into an international cooperative venture. Classrooms in Tokyo, Nairobi, and Toronto now routinely engage in collaborative climate modeling projects, exchanging real-time sensor data, co-authoring scientific papers, and debating ethical policy within shared digital canvases. This interconnected pedagogy fosters cross-cultural empathy and mirrors the interdisciplinary remote workflows that define modern knowledge economies.</w:t>
      </w:r>
    </w:p>
    <w:p>
      <w:pPr>
        <w:pStyle w:val="Heading1"/>
        <w:spacing w:after="120" w:before="360"/>
      </w:pPr>
      <w:r>
        <w:t xml:space="preserve">04. The Inequity Fracture: Hardware Deserts and the Digital Divide</w:t>
      </w:r>
    </w:p>
    <w:p>
      <w:pPr>
        <w:spacing w:after="200"/>
      </w:pPr>
      <w:r>
        <w:rPr>
          <w:i/>
          <w:iCs/>
          <w:color w:val="444444"/>
          <w:sz w:val="22"/>
          <w:szCs w:val="22"/>
        </w:rPr>
        <w:t xml:space="preserve">How technological acceleration risks entrenching existing socioeconomic stratification.</w:t>
      </w:r>
    </w:p>
    <w:p>
      <w:pPr>
        <w:spacing w:after="180" w:line="300"/>
      </w:pPr>
      <w:r>
        <w:rPr>
          <w:sz w:val="23"/>
          <w:szCs w:val="23"/>
        </w:rPr>
        <w:t xml:space="preserve">While digital advancements unlock exhilarating possibilities for resourced schools, they simultaneously exacerbate deep structural inequities. Technology is neither neutral nor self-distributing; its benefits accrue disproportionately to those with stable electrical grids, high-speed fiber-optic bandwidth, modern silicon hardware, and technologically literate home environments. For underfunded institutions and vulnerable demographics, the digital pivot often acts not as an equalizer, but as an amplifier of deprivation.</w:t>
      </w:r>
    </w:p>
    <w:p>
      <w:pPr>
        <w:spacing w:after="180" w:line="300"/>
      </w:pPr>
      <w:r>
        <w:rPr>
          <w:sz w:val="23"/>
          <w:szCs w:val="23"/>
        </w:rPr>
        <w:t xml:space="preserve">The UNESCO 2023 Global Education Monitoring Report exposed the staggering scale of this imbalance: approximately 31 percent of school-age children globally—nearly 500 million learners—remain completely unable to participate in remote or digital education due to broadband and device deficits. Even within high-income nations, the 'homework gap' persists stubbornly: students in low-income urban zip codes and remote rural counties gather in fast-food parking lots to access free Wi-Fi networks in order to submit mandatory homework assignments.</w:t>
      </w:r>
    </w:p>
    <w:p>
      <w:pPr>
        <w:spacing w:after="180" w:line="300"/>
      </w:pPr>
      <w:r>
        <w:rPr>
          <w:sz w:val="23"/>
          <w:szCs w:val="23"/>
        </w:rPr>
        <w:t xml:space="preserve">Furthermore, as Justin Reich and Jal Mehta demonstrate in their seminal study 'Failure to Disrupt' (2022), affluent students equipped with high social capital utilize digital tools for self-directed creation, coding, and inquiry, whereas disadvantaged schools often deploy technology merely as glorified drill-and-kill workbooks. Without deliberate, redistributive public investment in hardware subsidies, universal community broadband, and teacher training, digital technology threatens to harden socioeconomic stratification into an insurmountable digital caste system.</w:t>
      </w:r>
    </w:p>
    <w:p>
      <w:pPr>
        <w:pStyle w:val="Heading1"/>
        <w:spacing w:after="120" w:before="360"/>
      </w:pPr>
      <w:r>
        <w:t xml:space="preserve">05. The Cognitive Toll: Attention Fragmentation and Memory Offloading</w:t>
      </w:r>
    </w:p>
    <w:p>
      <w:pPr>
        <w:spacing w:after="200"/>
      </w:pPr>
      <w:r>
        <w:rPr>
          <w:i/>
          <w:iCs/>
          <w:color w:val="444444"/>
          <w:sz w:val="22"/>
          <w:szCs w:val="22"/>
        </w:rPr>
        <w:t xml:space="preserve">The hidden intellectual cost of constant notifications and superficial hyperlinking.</w:t>
      </w:r>
    </w:p>
    <w:p>
      <w:pPr>
        <w:spacing w:after="180" w:line="300"/>
      </w:pPr>
      <w:r>
        <w:rPr>
          <w:sz w:val="23"/>
          <w:szCs w:val="23"/>
        </w:rPr>
        <w:t xml:space="preserve">Alongside structural divides, a critical critique of educational digitization centers on human neurology and cognitive architecture. Human working memory is strictly finite, capable of manipulating only four to seven items simultaneously before experiencing cognitive overload. The modern digital interface—replete with algorithmic pop-ups, hyperlinked rabbit holes, multitasking split-screens, and social media notifications—is systematically engineered to exploit human attentional vulnerabilities.</w:t>
      </w:r>
    </w:p>
    <w:p>
      <w:pPr>
        <w:spacing w:after="180" w:line="300"/>
      </w:pPr>
      <w:r>
        <w:rPr>
          <w:sz w:val="23"/>
          <w:szCs w:val="23"/>
        </w:rPr>
        <w:t xml:space="preserve">Cognitive neuroscientists have documented a phenomenon termed 'continuous partial attention.' When students read complex academic texts on digital tablets or laptops, their eye tracking reveals a shift from the deep, contemplative 'F-shaped' linear reading pattern typical of physical print toward erratic, superficial keyword scanning. A comprehensive meta-analysis across dozens of international studies revealed that reading comprehension of complex, nuanced expository texts is consistently higher when performed on physical paper compared to backlit screens.</w:t>
      </w:r>
    </w:p>
    <w:p>
      <w:pPr>
        <w:spacing w:after="180" w:line="300"/>
      </w:pPr>
      <w:r>
        <w:rPr>
          <w:sz w:val="23"/>
          <w:szCs w:val="23"/>
        </w:rPr>
        <w:t xml:space="preserve">Moreover, the pervasive habit of offloading memory to digital search engines—often termed the 'Google Effect'—risks stunting the consolidation of rich conceptual schemas in long-term memory. When learners assume information is eternally retrievable via an instantaneous search query, their brains prioritize encoding where the information is located rather than internalizing the core principles. In fields demanding rapid associative synthesis—such as clinical medicine, engineering diagnostics, and creative problem solving—superficial retrieval cannot substitute for deeply internalized structural understanding.</w:t>
      </w:r>
    </w:p>
    <w:p>
      <w:pPr>
        <w:pBdr>
          <w:left w:val="single" w:color="B08968" w:sz="18" w:space="12"/>
        </w:pBdr>
        <w:spacing w:after="240" w:before="200"/>
        <w:ind w:left="720" w:right="720"/>
      </w:pPr>
      <w:r>
        <w:rPr>
          <w:b/>
          <w:bCs/>
          <w:i/>
          <w:iCs/>
          <w:color w:val="2C3E50"/>
          <w:sz w:val="23"/>
          <w:szCs w:val="23"/>
        </w:rPr>
        <w:t xml:space="preserve">“The web encourages us to scan and skim, rather than read deeply. When we surrender our attention to hyperlinked velocity, we forfeit contemplative reflection.”</w:t>
      </w:r>
      <w:r>
        <w:rPr>
          <w:i/>
          <w:iCs/>
          <w:color w:val="666666"/>
          <w:sz w:val="20"/>
          <w:szCs w:val="20"/>
        </w:rPr>
        <w:t xml:space="preserve">
— Nicholas Carr, The Shallows</w:t>
      </w:r>
    </w:p>
    <w:p>
      <w:pPr>
        <w:pStyle w:val="Heading1"/>
        <w:spacing w:after="120" w:before="360"/>
      </w:pPr>
      <w:r>
        <w:t xml:space="preserve">06. Data Privacy, Surveillance Capitalism, and Algorithmic Bias</w:t>
      </w:r>
    </w:p>
    <w:p>
      <w:pPr>
        <w:spacing w:after="200"/>
      </w:pPr>
      <w:r>
        <w:rPr>
          <w:i/>
          <w:iCs/>
          <w:color w:val="444444"/>
          <w:sz w:val="22"/>
          <w:szCs w:val="22"/>
        </w:rPr>
        <w:t xml:space="preserve">The ethical hazards of monetizing student telemetry and automating pedagogical judgments.</w:t>
      </w:r>
    </w:p>
    <w:p>
      <w:pPr>
        <w:spacing w:after="180" w:line="300"/>
      </w:pPr>
      <w:r>
        <w:rPr>
          <w:sz w:val="23"/>
          <w:szCs w:val="23"/>
        </w:rPr>
        <w:t xml:space="preserve">The rapid commercialization of the EdTech sector has introduced alarming vulnerabilities regarding student data sovereignty and institutional autonomy. Global market analysts estimate the private EdTech industry will surpass $400 billion by 2028, largely driven by venture capital platforms whose underlying business models rely upon user engagement maximization and biometric telemetry extraction.</w:t>
      </w:r>
    </w:p>
    <w:p>
      <w:pPr>
        <w:spacing w:after="180" w:line="300"/>
      </w:pPr>
      <w:r>
        <w:rPr>
          <w:sz w:val="23"/>
          <w:szCs w:val="23"/>
        </w:rPr>
        <w:t xml:space="preserve">In thousands of school districts, commercial learning management platforms log every keystroke, pupil gaze fixation, browsing history, and submission timestamp. This granular behavioral profiling creates permanent digital dossiers that follow children from kindergarten through university admissions. In many cases, terms of service obscure whether aggregated student performance metrics are utilized to train proprietary machine learning models or licensed to third-party commercial vendors, triggering severe regulatory clashes with statutes such as FERPA in the United States and GDPR in the European Union.</w:t>
      </w:r>
    </w:p>
    <w:p>
      <w:pPr>
        <w:spacing w:after="180" w:line="300"/>
      </w:pPr>
      <w:r>
        <w:rPr>
          <w:sz w:val="23"/>
          <w:szCs w:val="23"/>
        </w:rPr>
        <w:t xml:space="preserve">Equally perilous is the uncritical deployment of algorithmic grading and automated proctoring software. Automated scoring algorithms frequently exhibit systemic bias against linguistic minorities, neurodivergent students, and non-standard dialects. Facial recognition algorithms embedded in exam-proctoring software have repeatedly misclassified students of color or flagged involuntary micro-movements as fraudulent behavior. Ceding ethical academic evaluations to opaque, proprietary algorithms undermines the fundamental covenant of trust between educator and student.</w:t>
      </w:r>
    </w:p>
    <w:p>
      <w:pPr>
        <w:pStyle w:val="Heading1"/>
        <w:spacing w:after="120" w:before="360"/>
      </w:pPr>
      <w:r>
        <w:t xml:space="preserve">07. The Human-in-the-Loop Paradigm: Towards a Synthesized Future</w:t>
      </w:r>
    </w:p>
    <w:p>
      <w:pPr>
        <w:spacing w:after="200"/>
      </w:pPr>
      <w:r>
        <w:rPr>
          <w:i/>
          <w:iCs/>
          <w:color w:val="444444"/>
          <w:sz w:val="22"/>
          <w:szCs w:val="22"/>
        </w:rPr>
        <w:t xml:space="preserve">Reclaiming the pedagogical craft: Why empathy, mentorship, and Socratic dialogue remain irreplaceable.</w:t>
      </w:r>
    </w:p>
    <w:p>
      <w:pPr>
        <w:spacing w:after="180" w:line="300"/>
      </w:pPr>
      <w:r>
        <w:rPr>
          <w:sz w:val="23"/>
          <w:szCs w:val="23"/>
        </w:rPr>
        <w:t xml:space="preserve">Recognizing both the profound affordances and the acute pitfalls of digitization, leading educational theorists advocate for a balanced, 'Human-in-the-Loop' synthesis. This paradigm firmly rejects technological determinism—the naive notion that hardware adoption automatically produces superior intellectual outcomes—while refusing to succumb to reactionary Luddism.</w:t>
      </w:r>
    </w:p>
    <w:p>
      <w:pPr>
        <w:spacing w:after="180" w:line="300"/>
      </w:pPr>
      <w:r>
        <w:rPr>
          <w:sz w:val="23"/>
          <w:szCs w:val="23"/>
        </w:rPr>
        <w:t xml:space="preserve">In an optimized modern learning environment, technology functions as an administrative and diagnostic cognitive amplifier. Routine tasks such as mechanical grading, attendance logging, and basic drill evaluations are offloaded to intelligent software, liberating up to ten hours per week for classroom instructors. Teachers redirect this reclaimed time toward high-leverage human interactions: mentoring vulnerable students, orchestrating nuanced Socratic debates, coaching collaborative conflict resolution, and cultivating moral imagination.</w:t>
      </w:r>
    </w:p>
    <w:p>
      <w:pPr>
        <w:spacing w:after="180" w:line="300"/>
      </w:pPr>
      <w:r>
        <w:rPr>
          <w:sz w:val="23"/>
          <w:szCs w:val="23"/>
        </w:rPr>
        <w:t xml:space="preserve">The World Economic Forum's 'Shaping the Future of Learning' report (2024) emphasizes that as generative AI and automated systems assume routine cognitive labor, uniquely human attributes—metacognition, ethical reasoning, emotional intelligence, and critical skepticism—become the defining competencies of the twenty-first century. Educational systems must therefore treat digital tools not as self-contained instructors, but as dynamic cognitive prosthetics operated under the deliberate stewardship of empathetic human mentors.</w:t>
      </w:r>
    </w:p>
    <w:p>
      <w:pPr>
        <w:pStyle w:val="Heading1"/>
        <w:spacing w:after="120" w:before="360"/>
      </w:pPr>
      <w:r>
        <w:t xml:space="preserve">Conclusion: Architecting the Humane Educational Horizon</w:t>
      </w:r>
    </w:p>
    <w:p>
      <w:pPr>
        <w:spacing w:after="200"/>
      </w:pPr>
      <w:r>
        <w:rPr>
          <w:i/>
          <w:iCs/>
          <w:color w:val="444444"/>
          <w:sz w:val="22"/>
          <w:szCs w:val="22"/>
        </w:rPr>
        <w:t xml:space="preserve">A call for deliberate policy, universal infrastructure, and pedagogical wisdom.</w:t>
      </w:r>
    </w:p>
    <w:p>
      <w:pPr>
        <w:spacing w:after="180" w:line="300"/>
      </w:pPr>
      <w:r>
        <w:rPr>
          <w:sz w:val="23"/>
          <w:szCs w:val="23"/>
        </w:rPr>
        <w:t xml:space="preserve">The impact of digital technology on education is neither an unmitigated blessing nor an inevitable disaster; it is a profound multiplier of institutional intent. When deployed thoughtlessly as a cost-cutting measure or an unvetted substitute for qualified human instruction, technology exacerbates social stratification, scatters attention, and compromises student autonomy. But when deployed thoughtfully—anchored by universal public infrastructure, rigorous pedagogical research, and ethical governance—it possesses the power to unlock human potential at a scale previously unimaginable.</w:t>
      </w:r>
    </w:p>
    <w:p>
      <w:pPr>
        <w:spacing w:after="180" w:line="300"/>
      </w:pPr>
      <w:r>
        <w:rPr>
          <w:sz w:val="23"/>
          <w:szCs w:val="23"/>
        </w:rPr>
        <w:t xml:space="preserve">Realizing this humane vision requires deliberate concerted action across three vital frontiers. First, governments must treat broadband connectivity and hardware access as non-negotiable human rights, closing the infrastructure divide through aggressive public utility investment. Second, academic curricula must integrate comprehensive digital media literacy, teaching students to navigate algorithmic information spaces with critical discernment rather than passive consumption. Finally, institutional leaders must fiercely protect the pedagogical primacy of human teachers, investing in their professional development and ensuring that algorithmic tools remain accountable assistants rather than autonomous gatekeepers.</w:t>
      </w:r>
    </w:p>
    <w:p>
      <w:pPr>
        <w:spacing w:after="180" w:line="300"/>
      </w:pPr>
      <w:r>
        <w:rPr>
          <w:sz w:val="23"/>
          <w:szCs w:val="23"/>
        </w:rPr>
        <w:t xml:space="preserve">The classroom of the future will not be measured by the brilliance of its silicon displays or the complexity of its neural networks, but by the intellectual vitality, empathetic depth, and civic courage of the human beings it nurtures. Digital technology provides the instruments; the melody of education remains unmistakably human.</w:t>
      </w:r>
    </w:p>
    <w:p>
      <w:pPr>
        <w:pStyle w:val="Heading2"/>
        <w:spacing w:after="200" w:before="400"/>
      </w:pPr>
      <w:r>
        <w:t xml:space="preserve">Comparative Educational Dimensions &amp; Empirical Evidence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3159"/>
        <w:gridCol w:w="3610"/>
      </w:tblGrid>
      <w:tr>
        <w:trPr>
          <w:tblHeader/>
        </w:trPr>
        <w:tc>
          <w:tcPr>
            <w:tcW w:type="pct" w:w="1250"/>
            <w:shd w:fill="EFEAE1" w:val="clear"/>
          </w:tcPr>
          <w:p>
            <w:r>
              <w:rPr>
                <w:b/>
                <w:bCs/>
                <w:sz w:val="20"/>
                <w:szCs w:val="20"/>
              </w:rPr>
              <w:t xml:space="preserve">Dimension</w:t>
            </w:r>
          </w:p>
        </w:tc>
        <w:tc>
          <w:tcPr>
            <w:tcW w:type="pct" w:w="1750"/>
            <w:shd w:fill="EFEAE1" w:val="clear"/>
          </w:tcPr>
          <w:p>
            <w:r>
              <w:rPr>
                <w:b/>
                <w:bCs/>
                <w:sz w:val="20"/>
                <w:szCs w:val="20"/>
              </w:rPr>
              <w:t xml:space="preserve">Traditional Instruction</w:t>
            </w:r>
          </w:p>
        </w:tc>
        <w:tc>
          <w:tcPr>
            <w:tcW w:type="pct" w:w="2000"/>
            <w:shd w:fill="EFEAE1" w:val="clear"/>
          </w:tcPr>
          <w:p>
            <w:r>
              <w:rPr>
                <w:b/>
                <w:bCs/>
                <w:sz w:val="20"/>
                <w:szCs w:val="20"/>
              </w:rPr>
              <w:t xml:space="preserve">Digital Paradigm &amp; Impact</w:t>
            </w:r>
          </w:p>
        </w:tc>
      </w:tr>
      <w:tr>
        <w:tc>
          <w:tcPr>
            <w:tcW w:type="pct" w:w="1250"/>
          </w:tcPr>
          <w:p>
            <w:r>
              <w:rPr>
                <w:b/>
                <w:bCs/>
                <w:sz w:val="19"/>
                <w:szCs w:val="19"/>
              </w:rPr>
              <w:t xml:space="preserve">Instructional Pacing</w:t>
            </w:r>
          </w:p>
        </w:tc>
        <w:tc>
          <w:tcPr>
            <w:tcW w:type="pct" w:w="1750"/>
          </w:tcPr>
          <w:p>
            <w:r>
              <w:rPr>
                <w:sz w:val="19"/>
                <w:szCs w:val="19"/>
              </w:rPr>
              <w:t xml:space="preserve">Fixed batch pacing governed by median classroom comprehension rate</w:t>
            </w:r>
          </w:p>
        </w:tc>
        <w:tc>
          <w:tcPr>
            <w:tcW w:type="pct" w:w="2000"/>
          </w:tcPr>
          <w:p>
            <w:r>
              <w:rPr>
                <w:sz w:val="19"/>
                <w:szCs w:val="19"/>
              </w:rPr>
              <w:t xml:space="preserve">Continuous algorithmic adaptation tailored to individual mastery and cognitive speed</w:t>
            </w:r>
          </w:p>
          <w:p>
            <w:pPr>
              <w:spacing w:before="80"/>
            </w:pPr>
            <w:r>
              <w:rPr>
                <w:i/>
                <w:iCs/>
                <w:color w:val="555555"/>
                <w:sz w:val="18"/>
                <w:szCs w:val="18"/>
              </w:rPr>
              <w:t xml:space="preserve">Evidence: 0.32 SD improvement in concept retention (OECD, 2023)</w:t>
            </w:r>
          </w:p>
        </w:tc>
      </w:tr>
      <w:tr>
        <w:tc>
          <w:tcPr>
            <w:tcW w:type="pct" w:w="1250"/>
          </w:tcPr>
          <w:p>
            <w:r>
              <w:rPr>
                <w:b/>
                <w:bCs/>
                <w:sz w:val="19"/>
                <w:szCs w:val="19"/>
              </w:rPr>
              <w:t xml:space="preserve">Information Access</w:t>
            </w:r>
          </w:p>
        </w:tc>
        <w:tc>
          <w:tcPr>
            <w:tcW w:type="pct" w:w="1750"/>
          </w:tcPr>
          <w:p>
            <w:r>
              <w:rPr>
                <w:sz w:val="19"/>
                <w:szCs w:val="19"/>
              </w:rPr>
              <w:t xml:space="preserve">Bounded by physical textbooks, local libraries, and regional curriculum guides</w:t>
            </w:r>
          </w:p>
        </w:tc>
        <w:tc>
          <w:tcPr>
            <w:tcW w:type="pct" w:w="2000"/>
          </w:tcPr>
          <w:p>
            <w:r>
              <w:rPr>
                <w:sz w:val="19"/>
                <w:szCs w:val="19"/>
              </w:rPr>
              <w:t xml:space="preserve">Universal, on-demand global repositories, open courseware, and peer networks</w:t>
            </w:r>
          </w:p>
          <w:p>
            <w:pPr>
              <w:spacing w:before="80"/>
            </w:pPr>
            <w:r>
              <w:rPr>
                <w:i/>
                <w:iCs/>
                <w:color w:val="555555"/>
                <w:sz w:val="18"/>
                <w:szCs w:val="18"/>
              </w:rPr>
              <w:t xml:space="preserve">Evidence: Over 220 million active MOOC enrollments worldwide (UNESCO, 2023)</w:t>
            </w:r>
          </w:p>
        </w:tc>
      </w:tr>
      <w:tr>
        <w:tc>
          <w:tcPr>
            <w:tcW w:type="pct" w:w="1250"/>
          </w:tcPr>
          <w:p>
            <w:r>
              <w:rPr>
                <w:b/>
                <w:bCs/>
                <w:sz w:val="19"/>
                <w:szCs w:val="19"/>
              </w:rPr>
              <w:t xml:space="preserve">Formative Assessment</w:t>
            </w:r>
          </w:p>
        </w:tc>
        <w:tc>
          <w:tcPr>
            <w:tcW w:type="pct" w:w="1750"/>
          </w:tcPr>
          <w:p>
            <w:r>
              <w:rPr>
                <w:sz w:val="19"/>
                <w:szCs w:val="19"/>
              </w:rPr>
              <w:t xml:space="preserve">Episodic high-stakes examinations with delayed feedback cycles</w:t>
            </w:r>
          </w:p>
        </w:tc>
        <w:tc>
          <w:tcPr>
            <w:tcW w:type="pct" w:w="2000"/>
          </w:tcPr>
          <w:p>
            <w:r>
              <w:rPr>
                <w:sz w:val="19"/>
                <w:szCs w:val="19"/>
              </w:rPr>
              <w:t xml:space="preserve">Real-time micro-assessments with instant diagnostic scaffolding and heatmaps</w:t>
            </w:r>
          </w:p>
          <w:p>
            <w:pPr>
              <w:spacing w:before="80"/>
            </w:pPr>
            <w:r>
              <w:rPr>
                <w:i/>
                <w:iCs/>
                <w:color w:val="555555"/>
                <w:sz w:val="18"/>
                <w:szCs w:val="18"/>
              </w:rPr>
              <w:t xml:space="preserve">Evidence: 42% reduction in diagnostic assessment latency (WEF, 2024)</w:t>
            </w:r>
          </w:p>
        </w:tc>
      </w:tr>
      <w:tr>
        <w:tc>
          <w:tcPr>
            <w:tcW w:type="pct" w:w="1250"/>
          </w:tcPr>
          <w:p>
            <w:r>
              <w:rPr>
                <w:b/>
                <w:bCs/>
                <w:sz w:val="19"/>
                <w:szCs w:val="19"/>
              </w:rPr>
              <w:t xml:space="preserve">Equity &amp; Access</w:t>
            </w:r>
          </w:p>
        </w:tc>
        <w:tc>
          <w:tcPr>
            <w:tcW w:type="pct" w:w="1750"/>
          </w:tcPr>
          <w:p>
            <w:r>
              <w:rPr>
                <w:sz w:val="19"/>
                <w:szCs w:val="19"/>
              </w:rPr>
              <w:t xml:space="preserve">Standardized regional allocation with local municipal funding disparities</w:t>
            </w:r>
          </w:p>
        </w:tc>
        <w:tc>
          <w:tcPr>
            <w:tcW w:type="pct" w:w="2000"/>
          </w:tcPr>
          <w:p>
            <w:r>
              <w:rPr>
                <w:sz w:val="19"/>
                <w:szCs w:val="19"/>
              </w:rPr>
              <w:t xml:space="preserve">Hyper-accessible content offset by hardware poverty and broadband divides</w:t>
            </w:r>
          </w:p>
          <w:p>
            <w:pPr>
              <w:spacing w:before="80"/>
            </w:pPr>
            <w:r>
              <w:rPr>
                <w:i/>
                <w:iCs/>
                <w:color w:val="555555"/>
                <w:sz w:val="18"/>
                <w:szCs w:val="18"/>
              </w:rPr>
              <w:t xml:space="preserve">Evidence: 31% of school-age children globally lack remote connectivity (UNESCO, 2023)</w:t>
            </w:r>
          </w:p>
        </w:tc>
      </w:tr>
      <w:tr>
        <w:tc>
          <w:tcPr>
            <w:tcW w:type="pct" w:w="1250"/>
          </w:tcPr>
          <w:p>
            <w:r>
              <w:rPr>
                <w:b/>
                <w:bCs/>
                <w:sz w:val="19"/>
                <w:szCs w:val="19"/>
              </w:rPr>
              <w:t xml:space="preserve">Cognitive Focus</w:t>
            </w:r>
          </w:p>
        </w:tc>
        <w:tc>
          <w:tcPr>
            <w:tcW w:type="pct" w:w="1750"/>
          </w:tcPr>
          <w:p>
            <w:r>
              <w:rPr>
                <w:sz w:val="19"/>
                <w:szCs w:val="19"/>
              </w:rPr>
              <w:t xml:space="preserve">Single-channel sustained physical lecture and linear reading tasks</w:t>
            </w:r>
          </w:p>
        </w:tc>
        <w:tc>
          <w:tcPr>
            <w:tcW w:type="pct" w:w="2000"/>
          </w:tcPr>
          <w:p>
            <w:r>
              <w:rPr>
                <w:sz w:val="19"/>
                <w:szCs w:val="19"/>
              </w:rPr>
              <w:t xml:space="preserve">Multimodal, non-linear hyperlinked environments with frequent task switching</w:t>
            </w:r>
          </w:p>
          <w:p>
            <w:pPr>
              <w:spacing w:before="80"/>
            </w:pPr>
            <w:r>
              <w:rPr>
                <w:i/>
                <w:iCs/>
                <w:color w:val="555555"/>
                <w:sz w:val="18"/>
                <w:szCs w:val="18"/>
              </w:rPr>
              <w:t xml:space="preserve">Evidence: Measurable increase in superficial skimming and distraction (Stanford, 2022)</w:t>
            </w:r>
          </w:p>
        </w:tc>
      </w:tr>
    </w:tbl>
    <w:p>
      <w:pPr>
        <w:pStyle w:val="Heading2"/>
        <w:spacing w:after="180" w:before="480"/>
      </w:pPr>
      <w:r>
        <w:t xml:space="preserve">Scholarly References &amp; Institutional Sources</w:t>
      </w:r>
    </w:p>
    <w:p>
      <w:pPr>
        <w:spacing w:after="120"/>
      </w:pPr>
      <w:r>
        <w:rPr>
          <w:b/>
          <w:bCs/>
        </w:rPr>
        <w:t xml:space="preserve">[1] </w:t>
      </w:r>
      <w:r>
        <w:rPr>
          <w:b/>
          <w:bCs/>
        </w:rPr>
        <w:t xml:space="preserve">UNESCO (2023). </w:t>
      </w:r>
      <w:r>
        <w:rPr>
          <w:i/>
          <w:iCs/>
        </w:rPr>
        <w:t xml:space="preserve">Global Education Monitoring Report 2023: Technology in Education: A Tool on Whose Terms?. </w:t>
      </w:r>
      <w:r>
        <w:t xml:space="preserve">United Nations Educational, Scientific and Cultural Organization, Paris. </w:t>
      </w:r>
      <w:r>
        <w:rPr>
          <w:color w:val="0066CC"/>
        </w:rPr>
        <w:t xml:space="preserve">DOI: 10.54676/YCPX6893. </w:t>
      </w:r>
      <w:r>
        <w:rPr>
          <w:color w:val="0066CC"/>
        </w:rPr>
        <w:t xml:space="preserve">Available at: https://unesdoc.unesco.org/ark:/48223/pf0000385723</w:t>
      </w:r>
    </w:p>
    <w:p>
      <w:pPr>
        <w:spacing w:after="200"/>
        <w:ind w:left="360"/>
      </w:pPr>
      <w:r>
        <w:rPr>
          <w:b/>
          <w:bCs/>
          <w:color w:val="555555"/>
          <w:sz w:val="19"/>
          <w:szCs w:val="19"/>
        </w:rPr>
        <w:t xml:space="preserve">Key Finding: </w:t>
      </w:r>
      <w:r>
        <w:rPr>
          <w:color w:val="555555"/>
          <w:sz w:val="19"/>
          <w:szCs w:val="19"/>
        </w:rPr>
        <w:t xml:space="preserve">Emphasizes that digital tools should support, never displace, human educators; warns of excessive screen use hindering cognitive retention, and documents that over 500 million students globally remain cut off from digital learning due to infrastructure disparities.</w:t>
      </w:r>
    </w:p>
    <w:p>
      <w:pPr>
        <w:spacing w:after="120"/>
      </w:pPr>
      <w:r>
        <w:rPr>
          <w:b/>
          <w:bCs/>
        </w:rPr>
        <w:t xml:space="preserve">[2] </w:t>
      </w:r>
      <w:r>
        <w:rPr>
          <w:b/>
          <w:bCs/>
        </w:rPr>
        <w:t xml:space="preserve">OECD (2023). </w:t>
      </w:r>
      <w:r>
        <w:rPr>
          <w:i/>
          <w:iCs/>
        </w:rPr>
        <w:t xml:space="preserve">OECD Digital Education Outlook 2023: Towards an Ecosystem of Human-Centered Artificial Intelligence in Education. </w:t>
      </w:r>
      <w:r>
        <w:t xml:space="preserve">OECD Publishing, Paris. </w:t>
      </w:r>
      <w:r>
        <w:rPr>
          <w:color w:val="0066CC"/>
        </w:rPr>
        <w:t xml:space="preserve">DOI: 10.1787/8b456633-en. </w:t>
      </w:r>
      <w:r>
        <w:rPr>
          <w:color w:val="0066CC"/>
        </w:rPr>
        <w:t xml:space="preserve">Available at: https://www.oecd-ilibrary.org/education/oecd-digital-education-outlook-2023_8b456633-en</w:t>
      </w:r>
    </w:p>
    <w:p>
      <w:pPr>
        <w:spacing w:after="200"/>
        <w:ind w:left="360"/>
      </w:pPr>
      <w:r>
        <w:rPr>
          <w:b/>
          <w:bCs/>
          <w:color w:val="555555"/>
          <w:sz w:val="19"/>
          <w:szCs w:val="19"/>
        </w:rPr>
        <w:t xml:space="preserve">Key Finding: </w:t>
      </w:r>
      <w:r>
        <w:rPr>
          <w:color w:val="555555"/>
          <w:sz w:val="19"/>
          <w:szCs w:val="19"/>
        </w:rPr>
        <w:t xml:space="preserve">Identifies that adaptive algorithms and smart tutoring platforms improve math and STEM mastery by 0.25–0.38 standard deviations when paired with teacher facilitation, while unguided autonomous software yields marginal long-term retention gains.</w:t>
      </w:r>
    </w:p>
    <w:p>
      <w:pPr>
        <w:spacing w:after="120"/>
      </w:pPr>
      <w:r>
        <w:rPr>
          <w:b/>
          <w:bCs/>
        </w:rPr>
        <w:t xml:space="preserve">[3] </w:t>
      </w:r>
      <w:r>
        <w:rPr>
          <w:b/>
          <w:bCs/>
        </w:rPr>
        <w:t xml:space="preserve">World Economic Forum (2024). </w:t>
      </w:r>
      <w:r>
        <w:rPr>
          <w:i/>
          <w:iCs/>
        </w:rPr>
        <w:t xml:space="preserve">Shaping the Future of Learning: The Role of AI and Digital Ecosystems in Global Human Capital. </w:t>
      </w:r>
      <w:r>
        <w:t xml:space="preserve">World Economic Forum Insight Report, Geneva. </w:t>
      </w:r>
      <w:r>
        <w:rPr>
          <w:color w:val="0066CC"/>
        </w:rPr>
        <w:t xml:space="preserve">Available at: https://www.weforum.org/publications/future-of-jobs-report-2024</w:t>
      </w:r>
    </w:p>
    <w:p>
      <w:pPr>
        <w:spacing w:after="200"/>
        <w:ind w:left="360"/>
      </w:pPr>
      <w:r>
        <w:rPr>
          <w:b/>
          <w:bCs/>
          <w:color w:val="555555"/>
          <w:sz w:val="19"/>
          <w:szCs w:val="19"/>
        </w:rPr>
        <w:t xml:space="preserve">Key Finding: </w:t>
      </w:r>
      <w:r>
        <w:rPr>
          <w:color w:val="555555"/>
          <w:sz w:val="19"/>
          <w:szCs w:val="19"/>
        </w:rPr>
        <w:t xml:space="preserve">Projects that 65% of today's primary school students will work in job categories that do not yet exist, mandating that digital educational tools prioritize metacognition, digital literacy, and adaptive problem-solving over rote memorization.</w:t>
      </w:r>
    </w:p>
    <w:p>
      <w:pPr>
        <w:spacing w:after="120"/>
      </w:pPr>
      <w:r>
        <w:rPr>
          <w:b/>
          <w:bCs/>
        </w:rPr>
        <w:t xml:space="preserve">[4] </w:t>
      </w:r>
      <w:r>
        <w:rPr>
          <w:b/>
          <w:bCs/>
        </w:rPr>
        <w:t xml:space="preserve">Reich, J. &amp; Mehta, J. (2022). </w:t>
      </w:r>
      <w:r>
        <w:rPr>
          <w:i/>
          <w:iCs/>
        </w:rPr>
        <w:t xml:space="preserve">Failure to Disrupt: Why Technology Alone Can't Transform Education. </w:t>
      </w:r>
      <w:r>
        <w:t xml:space="preserve">Harvard University Press / MIT Teaching Systems Lab. </w:t>
      </w:r>
      <w:r>
        <w:rPr>
          <w:color w:val="0066CC"/>
        </w:rPr>
        <w:t xml:space="preserve">DOI: 10.4159/9780674250833. </w:t>
      </w:r>
    </w:p>
    <w:p>
      <w:pPr>
        <w:spacing w:after="200"/>
        <w:ind w:left="360"/>
      </w:pPr>
      <w:r>
        <w:rPr>
          <w:b/>
          <w:bCs/>
          <w:color w:val="555555"/>
          <w:sz w:val="19"/>
          <w:szCs w:val="19"/>
        </w:rPr>
        <w:t xml:space="preserve">Key Finding: </w:t>
      </w:r>
      <w:r>
        <w:rPr>
          <w:color w:val="555555"/>
          <w:sz w:val="19"/>
          <w:szCs w:val="19"/>
        </w:rPr>
        <w:t xml:space="preserve">Demonstrates that digital learning tools systematically amplify advantages for affluent, self-directed students while failing to close achievement gaps unless institutional and human support networks are simultaneously upgraded.</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The Impact of Digital Technology on Education — Page </w:t>
    </w:r>
    <w:r>
      <w:fldChar w:fldCharType="begin"/>
    </w:r>
    <w:r>
      <w:instrText xml:space="preserve">PAGE</w:instrText>
    </w:r>
    <w:r>
      <w:fldChar w:fldCharType="separate"/>
    </w:r>
    <w:r>
      <w:fldChar w:fldCharType="end"/>
    </w:r>
    <w:r>
      <w:t xml:space="preserve"> of </w:t>
    </w:r>
    <w:r>
      <w:fldChar w:fldCharType="begin"/>
    </w:r>
    <w:r>
      <w:instrText xml:space="preserve">NUMPAGES</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t xml:space="preserve">The Educational Review  |  Scholarly Research Series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Impact of Digital Technology on Education</dc:title>
  <dc:creator>Dr. Elena Vance &amp; Academic Research Group</dc:creator>
  <dc:description>Promise, Peril, and the Architecture of Modern Learning</dc:description>
  <cp:lastModifiedBy>Un-named</cp:lastModifiedBy>
  <cp:revision>1</cp:revision>
  <dcterms:created xsi:type="dcterms:W3CDTF">2026-10-19T04:07:25.422Z</dcterms:created>
  <dcterms:modified xsi:type="dcterms:W3CDTF">2026-10-19T04:07:25.423Z</dcterms:modified>
</cp:coreProperties>
</file>

<file path=docProps/custom.xml><?xml version="1.0" encoding="utf-8"?>
<Properties xmlns="http://schemas.openxmlformats.org/officeDocument/2006/custom-properties" xmlns:vt="http://schemas.openxmlformats.org/officeDocument/2006/docPropsVTypes"/>
</file>