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Methods</w:t>
      </w:r>
    </w:p>
    <w:p>
      <w:r>
        <w:t>µFTIR Dataset and Experimental Design</w:t>
        <w:br/>
        <w:t>µFTIR spectral mapping data were used to develop and evaluate an open-set recognition (OSR) pipeline for microplastic classification. The raw dataset consisted of HDF5 files, each corresponding to a single physical sample. Each file contained hundreds to thousands of individual spectra acquired over a spatial mapping grid. Each spectrum was represented as a one-dimensional absorbance signal sampled over 882 wavenumbers. Polymer identity and experimental condition were provided as file-level metadata.</w:t>
      </w:r>
    </w:p>
    <w:p>
      <w:r>
        <w:t>Spectral Extraction and Preprocessing</w:t>
        <w:br/>
        <w:t>Raw HDF5 files were converted into structured NumPy archives (.npz). Each extracted file contained all spectra from one physical sample along with polymer, condition, and wavenumber metadata. Spectra were normalized using min–max scaling to the range [0,1] and zero-padded from 882 to 896 points to accommodate CNN pooling layers.</w:t>
      </w:r>
    </w:p>
    <w:p>
      <w:r>
        <w:t>Sample-wise Dataset Splitting</w:t>
        <w:br/>
        <w:t>All dataset splits were performed at the sample level to prevent data leakage. A split definition JSON file explicitly assigned each sample to training, validation, closed-set testing, open-set testing, stress testing, or non-plastic control categories.</w:t>
      </w:r>
    </w:p>
    <w:p>
      <w:r>
        <w:t>Spectral Dataset Representation</w:t>
        <w:br/>
        <w:t>A custom PyTorch Dataset was implemented in which each item corresponded to one spectrum and returned the normalized spectral vector, an optional class label, and a string-based sample identifier.</w:t>
      </w:r>
    </w:p>
    <w:p>
      <w:r>
        <w:t>Embedding Network Architecture</w:t>
        <w:br/>
        <w:t>A one-dimensional convolutional neural network followed by a fully connected projection head was used to map each spectrum to a 128-dimensional embedding space.</w:t>
      </w:r>
    </w:p>
    <w:p>
      <w:r>
        <w:t>Contrastive Embedding Learning</w:t>
        <w:br/>
        <w:t>The embedding network was trained using contrastive loss with polymer-balanced batch sampling to ensure valid positive and negative pairs.</w:t>
      </w:r>
    </w:p>
    <w:p>
      <w:r>
        <w:t>Closed-set Evaluation</w:t>
        <w:br/>
        <w:t>Closed-set classification was performed as a sanity check, yielding approximately 0.87 accuracy on held-out clean samples.</w:t>
      </w:r>
    </w:p>
    <w:p>
      <w:r>
        <w:t>Embedding Extraction</w:t>
        <w:br/>
        <w:t>The trained embedding network was frozen and used to extract embeddings for all dataset splits. One embedding file per sample was generated.</w:t>
      </w:r>
    </w:p>
    <w:p>
      <w:r>
        <w:t>Open-set Recognition Baselines</w:t>
        <w:br/>
        <w:t>Two OSR approaches were evaluated: distance-to-centroid thresholding and per-polymer One-Class SVMs.</w:t>
      </w:r>
    </w:p>
    <w:p>
      <w:r>
        <w:t>Embedding Visualization and Stress-test Analysis</w:t>
        <w:br/>
        <w:t>UMAP was used to visualize embedding structure. Stress-test samples were analyzed by computing distances to clean centroids and visualized using boxplots.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