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rFonts w:ascii="Calibri" w:cs="Calibri" w:eastAsia="Calibri" w:hAnsi="Calibri"/>
          <w:b/>
          <w:bCs/>
          <w:sz w:val="40"/>
          <w:szCs w:val="40"/>
        </w:rPr>
        <w:t xml:space="preserve">Clinical ICD-10 Coding Pipeline: Stages 5–11</w:t>
      </w:r>
    </w:p>
    <w:p>
      <w:pPr>
        <w:spacing w:after="50"/>
      </w:pPr>
      <w:r>
        <w:rPr>
          <w:rFonts w:ascii="Calibri" w:cs="Calibri" w:eastAsia="Calibri" w:hAnsi="Calibri"/>
          <w:i/>
          <w:iCs/>
          <w:color w:val="555555"/>
          <w:sz w:val="26"/>
          <w:szCs w:val="26"/>
        </w:rPr>
        <w:t xml:space="preserve">Design decisions, abandoned approaches, and measured results</w:t>
      </w:r>
    </w:p>
    <w:p>
      <w:pPr>
        <w:spacing w:after="300"/>
      </w:pPr>
      <w:r>
        <w:rPr>
          <w:rFonts w:ascii="Calibri" w:cs="Calibri" w:eastAsia="Calibri" w:hAnsi="Calibri"/>
          <w:color w:val="777777"/>
          <w:sz w:val="20"/>
          <w:szCs w:val="20"/>
        </w:rPr>
        <w:t xml:space="preserve">Prepared for the project team and Professor Wang · 15 patients, 15 admissions, 247 ground-truth codes</w:t>
      </w:r>
    </w:p>
    <w:p>
      <w:pPr>
        <w:pStyle w:val="Heading1"/>
        <w:spacing w:after="160" w:before="340"/>
      </w:pPr>
      <w:r>
        <w:t xml:space="preserve">1. How ICD-10 codes work</w:t>
      </w:r>
    </w:p>
    <w:p>
      <w:pPr>
        <w:spacing w:after="150"/>
      </w:pPr>
      <w:r>
        <w:rPr>
          <w:rFonts w:ascii="Calibri" w:cs="Calibri" w:eastAsia="Calibri" w:hAnsi="Calibri"/>
          <w:sz w:val="22"/>
          <w:szCs w:val="22"/>
        </w:rPr>
        <w:t xml:space="preserve">Every result in this report depends on how ICD-10 codes are structured, so it is worth stating first.</w:t>
      </w:r>
    </w:p>
    <w:p>
      <w:pPr>
        <w:spacing w:after="150"/>
      </w:pPr>
      <w:r>
        <w:rPr>
          <w:rFonts w:ascii="Consolas" w:cs="Consolas" w:eastAsia="Consolas" w:hAnsi="Consolas"/>
          <w:sz w:val="20"/>
          <w:szCs w:val="20"/>
        </w:rPr>
        <w:t xml:space="preserve">K72.10</w:t>
      </w:r>
      <w:r>
        <w:rPr>
          <w:rFonts w:ascii="Calibri" w:cs="Calibri" w:eastAsia="Calibri" w:hAnsi="Calibri"/>
          <w:sz w:val="22"/>
          <w:szCs w:val="22"/>
        </w:rPr>
        <w:t xml:space="preserve"> decomposes 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00"/>
      </w:tblGrid>
      <w:tr>
        <w:tc>
          <w:tcPr>
            <w:tcW w:type="dxa" w:w="1700"/>
            <w:shd w:fill="D9E2F3" w:val="clear"/>
            <w:tcMar>
              <w:top w:type="dxa" w:w="70"/>
              <w:left w:type="dxa" w:w="110"/>
              <w:bottom w:type="dxa" w:w="70"/>
              <w:right w:type="dxa" w:w="110"/>
            </w:tcMar>
          </w:tcPr>
          <w:p>
            <w:r>
              <w:rPr>
                <w:rFonts w:ascii="Calibri" w:cs="Calibri" w:eastAsia="Calibri" w:hAnsi="Calibri"/>
                <w:b/>
                <w:bCs/>
                <w:sz w:val="20"/>
                <w:szCs w:val="20"/>
              </w:rPr>
              <w:t xml:space="preserve">Level</w:t>
            </w:r>
          </w:p>
        </w:tc>
        <w:tc>
          <w:tcPr>
            <w:tcW w:type="dxa" w:w="1500"/>
            <w:shd w:fill="D9E2F3" w:val="clear"/>
            <w:tcMar>
              <w:top w:type="dxa" w:w="70"/>
              <w:left w:type="dxa" w:w="110"/>
              <w:bottom w:type="dxa" w:w="70"/>
              <w:right w:type="dxa" w:w="110"/>
            </w:tcMar>
          </w:tcPr>
          <w:p>
            <w:r>
              <w:rPr>
                <w:rFonts w:ascii="Calibri" w:cs="Calibri" w:eastAsia="Calibri" w:hAnsi="Calibri"/>
                <w:b/>
                <w:bCs/>
                <w:sz w:val="20"/>
                <w:szCs w:val="20"/>
              </w:rPr>
              <w:t xml:space="preserve">Example</w:t>
            </w:r>
          </w:p>
        </w:tc>
        <w:tc>
          <w:tcPr>
            <w:tcW w:type="dxa" w:w="6100"/>
            <w:shd w:fill="D9E2F3" w:val="clear"/>
            <w:tcMar>
              <w:top w:type="dxa" w:w="70"/>
              <w:left w:type="dxa" w:w="110"/>
              <w:bottom w:type="dxa" w:w="70"/>
              <w:right w:type="dxa" w:w="110"/>
            </w:tcMar>
          </w:tcPr>
          <w:p>
            <w:r>
              <w:rPr>
                <w:rFonts w:ascii="Calibri" w:cs="Calibri" w:eastAsia="Calibri" w:hAnsi="Calibri"/>
                <w:b/>
                <w:bCs/>
                <w:sz w:val="20"/>
                <w:szCs w:val="20"/>
              </w:rPr>
              <w:t xml:space="preserve">Meaning</w:t>
            </w:r>
          </w:p>
        </w:tc>
      </w:tr>
      <w:tr>
        <w:tc>
          <w:tcPr>
            <w:tcW w:type="dxa" w:w="1700"/>
            <w:tcMar>
              <w:top w:type="dxa" w:w="70"/>
              <w:left w:type="dxa" w:w="110"/>
              <w:bottom w:type="dxa" w:w="70"/>
              <w:right w:type="dxa" w:w="110"/>
            </w:tcMar>
          </w:tcPr>
          <w:p>
            <w:r>
              <w:rPr>
                <w:rFonts w:ascii="Calibri" w:cs="Calibri" w:eastAsia="Calibri" w:hAnsi="Calibri"/>
                <w:b w:val="false"/>
                <w:bCs w:val="false"/>
                <w:sz w:val="19"/>
                <w:szCs w:val="19"/>
              </w:rPr>
              <w:t xml:space="preserve">Chapter</w:t>
            </w:r>
          </w:p>
        </w:tc>
        <w:tc>
          <w:tcPr>
            <w:tcW w:type="dxa" w:w="1500"/>
            <w:tcMar>
              <w:top w:type="dxa" w:w="70"/>
              <w:left w:type="dxa" w:w="110"/>
              <w:bottom w:type="dxa" w:w="70"/>
              <w:right w:type="dxa" w:w="110"/>
            </w:tcMar>
          </w:tcPr>
          <w:p>
            <w:r>
              <w:rPr>
                <w:rFonts w:ascii="Calibri" w:cs="Calibri" w:eastAsia="Calibri" w:hAnsi="Calibri"/>
                <w:b w:val="false"/>
                <w:bCs w:val="false"/>
                <w:sz w:val="19"/>
                <w:szCs w:val="19"/>
              </w:rPr>
              <w:t xml:space="preserve">K</w:t>
            </w:r>
          </w:p>
        </w:tc>
        <w:tc>
          <w:tcPr>
            <w:tcW w:type="dxa" w:w="6100"/>
            <w:tcMar>
              <w:top w:type="dxa" w:w="70"/>
              <w:left w:type="dxa" w:w="110"/>
              <w:bottom w:type="dxa" w:w="70"/>
              <w:right w:type="dxa" w:w="110"/>
            </w:tcMar>
          </w:tcPr>
          <w:p>
            <w:r>
              <w:rPr>
                <w:rFonts w:ascii="Calibri" w:cs="Calibri" w:eastAsia="Calibri" w:hAnsi="Calibri"/>
                <w:b w:val="false"/>
                <w:bCs w:val="false"/>
                <w:sz w:val="19"/>
                <w:szCs w:val="19"/>
              </w:rPr>
              <w:t xml:space="preserve">Diseases of the digestive system — the leading letter, a broad body-system grouping</w:t>
            </w:r>
          </w:p>
        </w:tc>
      </w:tr>
      <w:tr>
        <w:tc>
          <w:tcPr>
            <w:tcW w:type="dxa" w:w="1700"/>
            <w:tcMar>
              <w:top w:type="dxa" w:w="70"/>
              <w:left w:type="dxa" w:w="110"/>
              <w:bottom w:type="dxa" w:w="70"/>
              <w:right w:type="dxa" w:w="110"/>
            </w:tcMar>
          </w:tcPr>
          <w:p>
            <w:r>
              <w:rPr>
                <w:rFonts w:ascii="Calibri" w:cs="Calibri" w:eastAsia="Calibri" w:hAnsi="Calibri"/>
                <w:b w:val="false"/>
                <w:bCs w:val="false"/>
                <w:sz w:val="19"/>
                <w:szCs w:val="19"/>
              </w:rPr>
              <w:t xml:space="preserve">Category</w:t>
            </w:r>
          </w:p>
        </w:tc>
        <w:tc>
          <w:tcPr>
            <w:tcW w:type="dxa" w:w="1500"/>
            <w:tcMar>
              <w:top w:type="dxa" w:w="70"/>
              <w:left w:type="dxa" w:w="110"/>
              <w:bottom w:type="dxa" w:w="70"/>
              <w:right w:type="dxa" w:w="110"/>
            </w:tcMar>
          </w:tcPr>
          <w:p>
            <w:r>
              <w:rPr>
                <w:rFonts w:ascii="Calibri" w:cs="Calibri" w:eastAsia="Calibri" w:hAnsi="Calibri"/>
                <w:b w:val="false"/>
                <w:bCs w:val="false"/>
                <w:sz w:val="19"/>
                <w:szCs w:val="19"/>
              </w:rPr>
              <w:t xml:space="preserve">K72</w:t>
            </w:r>
          </w:p>
        </w:tc>
        <w:tc>
          <w:tcPr>
            <w:tcW w:type="dxa" w:w="6100"/>
            <w:tcMar>
              <w:top w:type="dxa" w:w="70"/>
              <w:left w:type="dxa" w:w="110"/>
              <w:bottom w:type="dxa" w:w="70"/>
              <w:right w:type="dxa" w:w="110"/>
            </w:tcMar>
          </w:tcPr>
          <w:p>
            <w:r>
              <w:rPr>
                <w:rFonts w:ascii="Calibri" w:cs="Calibri" w:eastAsia="Calibri" w:hAnsi="Calibri"/>
                <w:b w:val="false"/>
                <w:bCs w:val="false"/>
                <w:sz w:val="19"/>
                <w:szCs w:val="19"/>
              </w:rPr>
              <w:t xml:space="preserve">Hepatic failure, not elsewhere classified — 3 characters, the core clinical concept</w:t>
            </w:r>
          </w:p>
        </w:tc>
      </w:tr>
      <w:tr>
        <w:tc>
          <w:tcPr>
            <w:tcW w:type="dxa" w:w="1700"/>
            <w:tcMar>
              <w:top w:type="dxa" w:w="70"/>
              <w:left w:type="dxa" w:w="110"/>
              <w:bottom w:type="dxa" w:w="70"/>
              <w:right w:type="dxa" w:w="110"/>
            </w:tcMar>
          </w:tcPr>
          <w:p>
            <w:r>
              <w:rPr>
                <w:rFonts w:ascii="Calibri" w:cs="Calibri" w:eastAsia="Calibri" w:hAnsi="Calibri"/>
                <w:b w:val="false"/>
                <w:bCs w:val="false"/>
                <w:sz w:val="19"/>
                <w:szCs w:val="19"/>
              </w:rPr>
              <w:t xml:space="preserve">Subcategory</w:t>
            </w:r>
          </w:p>
        </w:tc>
        <w:tc>
          <w:tcPr>
            <w:tcW w:type="dxa" w:w="1500"/>
            <w:tcMar>
              <w:top w:type="dxa" w:w="70"/>
              <w:left w:type="dxa" w:w="110"/>
              <w:bottom w:type="dxa" w:w="70"/>
              <w:right w:type="dxa" w:w="110"/>
            </w:tcMar>
          </w:tcPr>
          <w:p>
            <w:r>
              <w:rPr>
                <w:rFonts w:ascii="Calibri" w:cs="Calibri" w:eastAsia="Calibri" w:hAnsi="Calibri"/>
                <w:b w:val="false"/>
                <w:bCs w:val="false"/>
                <w:sz w:val="19"/>
                <w:szCs w:val="19"/>
              </w:rPr>
              <w:t xml:space="preserve">K72.1</w:t>
            </w:r>
          </w:p>
        </w:tc>
        <w:tc>
          <w:tcPr>
            <w:tcW w:type="dxa" w:w="6100"/>
            <w:tcMar>
              <w:top w:type="dxa" w:w="70"/>
              <w:left w:type="dxa" w:w="110"/>
              <w:bottom w:type="dxa" w:w="70"/>
              <w:right w:type="dxa" w:w="110"/>
            </w:tcMar>
          </w:tcPr>
          <w:p>
            <w:r>
              <w:rPr>
                <w:rFonts w:ascii="Calibri" w:cs="Calibri" w:eastAsia="Calibri" w:hAnsi="Calibri"/>
                <w:b w:val="false"/>
                <w:bCs w:val="false"/>
                <w:sz w:val="19"/>
                <w:szCs w:val="19"/>
              </w:rPr>
              <w:t xml:space="preserve">Chronic hepatic failure — 4 characters</w:t>
            </w:r>
          </w:p>
        </w:tc>
      </w:tr>
      <w:tr>
        <w:tc>
          <w:tcPr>
            <w:tcW w:type="dxa" w:w="1700"/>
            <w:tcMar>
              <w:top w:type="dxa" w:w="70"/>
              <w:left w:type="dxa" w:w="110"/>
              <w:bottom w:type="dxa" w:w="70"/>
              <w:right w:type="dxa" w:w="110"/>
            </w:tcMar>
          </w:tcPr>
          <w:p>
            <w:r>
              <w:rPr>
                <w:rFonts w:ascii="Calibri" w:cs="Calibri" w:eastAsia="Calibri" w:hAnsi="Calibri"/>
                <w:b w:val="false"/>
                <w:bCs w:val="false"/>
                <w:sz w:val="19"/>
                <w:szCs w:val="19"/>
              </w:rPr>
              <w:t xml:space="preserve">Full code</w:t>
            </w:r>
          </w:p>
        </w:tc>
        <w:tc>
          <w:tcPr>
            <w:tcW w:type="dxa" w:w="1500"/>
            <w:tcMar>
              <w:top w:type="dxa" w:w="70"/>
              <w:left w:type="dxa" w:w="110"/>
              <w:bottom w:type="dxa" w:w="70"/>
              <w:right w:type="dxa" w:w="110"/>
            </w:tcMar>
          </w:tcPr>
          <w:p>
            <w:r>
              <w:rPr>
                <w:rFonts w:ascii="Calibri" w:cs="Calibri" w:eastAsia="Calibri" w:hAnsi="Calibri"/>
                <w:b w:val="false"/>
                <w:bCs w:val="false"/>
                <w:sz w:val="19"/>
                <w:szCs w:val="19"/>
              </w:rPr>
              <w:t xml:space="preserve">K72.10</w:t>
            </w:r>
          </w:p>
        </w:tc>
        <w:tc>
          <w:tcPr>
            <w:tcW w:type="dxa" w:w="6100"/>
            <w:tcMar>
              <w:top w:type="dxa" w:w="70"/>
              <w:left w:type="dxa" w:w="110"/>
              <w:bottom w:type="dxa" w:w="70"/>
              <w:right w:type="dxa" w:w="110"/>
            </w:tcMar>
          </w:tcPr>
          <w:p>
            <w:r>
              <w:rPr>
                <w:rFonts w:ascii="Calibri" w:cs="Calibri" w:eastAsia="Calibri" w:hAnsi="Calibri"/>
                <w:b w:val="false"/>
                <w:bCs w:val="false"/>
                <w:sz w:val="19"/>
                <w:szCs w:val="19"/>
              </w:rPr>
              <w:t xml:space="preserve">Chronic hepatic failure without coma — 5 characters</w:t>
            </w:r>
          </w:p>
        </w:tc>
      </w:tr>
    </w:tbl>
    <w:p>
      <w:pPr>
        <w:spacing w:after="150"/>
      </w:pPr>
      <w:r>
        <w:rPr>
          <w:rFonts w:ascii="Calibri" w:cs="Calibri" w:eastAsia="Calibri" w:hAnsi="Calibri"/>
          <w:sz w:val="22"/>
          <w:szCs w:val="22"/>
        </w:rPr>
        <w:t xml:space="preserve">Characters beyond the third add clinical detail: laterality, severity, acute versus chronic, with or without complication. </w:t>
      </w:r>
      <w:r>
        <w:rPr>
          <w:rFonts w:ascii="Calibri" w:cs="Calibri" w:eastAsia="Calibri" w:hAnsi="Calibri"/>
          <w:b/>
          <w:bCs/>
          <w:sz w:val="22"/>
          <w:szCs w:val="22"/>
        </w:rPr>
        <w:t xml:space="preserve">This matters because a prediction can be clinically correct and still score zero</w:t>
      </w:r>
      <w:r>
        <w:rPr>
          <w:rFonts w:ascii="Calibri" w:cs="Calibri" w:eastAsia="Calibri" w:hAnsi="Calibri"/>
          <w:sz w:val="22"/>
          <w:szCs w:val="22"/>
        </w:rPr>
        <w:t xml:space="preserve"> — predicting </w:t>
      </w:r>
      <w:r>
        <w:rPr>
          <w:rFonts w:ascii="Consolas" w:cs="Consolas" w:eastAsia="Consolas" w:hAnsi="Consolas"/>
          <w:sz w:val="20"/>
          <w:szCs w:val="20"/>
        </w:rPr>
        <w:t xml:space="preserve">N17.9</w:t>
      </w:r>
      <w:r>
        <w:rPr>
          <w:rFonts w:ascii="Calibri" w:cs="Calibri" w:eastAsia="Calibri" w:hAnsi="Calibri"/>
          <w:sz w:val="22"/>
          <w:szCs w:val="22"/>
        </w:rPr>
        <w:t xml:space="preserve"> "acute kidney failure, unspecified" when the coder recorded </w:t>
      </w:r>
      <w:r>
        <w:rPr>
          <w:rFonts w:ascii="Consolas" w:cs="Consolas" w:eastAsia="Consolas" w:hAnsi="Consolas"/>
          <w:sz w:val="20"/>
          <w:szCs w:val="20"/>
        </w:rPr>
        <w:t xml:space="preserve">N17.0</w:t>
      </w:r>
      <w:r>
        <w:rPr>
          <w:rFonts w:ascii="Calibri" w:cs="Calibri" w:eastAsia="Calibri" w:hAnsi="Calibri"/>
          <w:sz w:val="22"/>
          <w:szCs w:val="22"/>
        </w:rPr>
        <w:t xml:space="preserve"> "with tubular necrosis" is an exact-match miss. We therefore report </w:t>
      </w:r>
      <w:r>
        <w:rPr>
          <w:rFonts w:ascii="Calibri" w:cs="Calibri" w:eastAsia="Calibri" w:hAnsi="Calibri"/>
          <w:b/>
          <w:bCs/>
          <w:sz w:val="22"/>
          <w:szCs w:val="22"/>
        </w:rPr>
        <w:t xml:space="preserve">category recall</w:t>
      </w:r>
      <w:r>
        <w:rPr>
          <w:rFonts w:ascii="Calibri" w:cs="Calibri" w:eastAsia="Calibri" w:hAnsi="Calibri"/>
          <w:sz w:val="22"/>
          <w:szCs w:val="22"/>
        </w:rPr>
        <w:t xml:space="preserve"> (3-character match) alongside exact recall, as a measure of how much is lost to specificity rather than to being wrong.</w:t>
      </w:r>
    </w:p>
    <w:p>
      <w:pPr>
        <w:spacing w:after="150"/>
      </w:pPr>
      <w:r>
        <w:rPr>
          <w:rFonts w:ascii="Calibri" w:cs="Calibri" w:eastAsia="Calibri" w:hAnsi="Calibri"/>
          <w:sz w:val="22"/>
          <w:szCs w:val="22"/>
        </w:rPr>
        <w:t xml:space="preserve">Chapters relevant below: </w:t>
      </w:r>
      <w:r>
        <w:rPr>
          <w:rFonts w:ascii="Consolas" w:cs="Consolas" w:eastAsia="Consolas" w:hAnsi="Consolas"/>
          <w:sz w:val="20"/>
          <w:szCs w:val="20"/>
        </w:rPr>
        <w:t xml:space="preserve">I</w:t>
      </w:r>
      <w:r>
        <w:rPr>
          <w:rFonts w:ascii="Calibri" w:cs="Calibri" w:eastAsia="Calibri" w:hAnsi="Calibri"/>
          <w:sz w:val="22"/>
          <w:szCs w:val="22"/>
        </w:rPr>
        <w:t xml:space="preserve"> circulatory, </w:t>
      </w:r>
      <w:r>
        <w:rPr>
          <w:rFonts w:ascii="Consolas" w:cs="Consolas" w:eastAsia="Consolas" w:hAnsi="Consolas"/>
          <w:sz w:val="20"/>
          <w:szCs w:val="20"/>
        </w:rPr>
        <w:t xml:space="preserve">J</w:t>
      </w:r>
      <w:r>
        <w:rPr>
          <w:rFonts w:ascii="Calibri" w:cs="Calibri" w:eastAsia="Calibri" w:hAnsi="Calibri"/>
          <w:sz w:val="22"/>
          <w:szCs w:val="22"/>
        </w:rPr>
        <w:t xml:space="preserve"> respiratory, </w:t>
      </w:r>
      <w:r>
        <w:rPr>
          <w:rFonts w:ascii="Consolas" w:cs="Consolas" w:eastAsia="Consolas" w:hAnsi="Consolas"/>
          <w:sz w:val="20"/>
          <w:szCs w:val="20"/>
        </w:rPr>
        <w:t xml:space="preserve">K</w:t>
      </w:r>
      <w:r>
        <w:rPr>
          <w:rFonts w:ascii="Calibri" w:cs="Calibri" w:eastAsia="Calibri" w:hAnsi="Calibri"/>
          <w:sz w:val="22"/>
          <w:szCs w:val="22"/>
        </w:rPr>
        <w:t xml:space="preserve"> digestive, </w:t>
      </w:r>
      <w:r>
        <w:rPr>
          <w:rFonts w:ascii="Consolas" w:cs="Consolas" w:eastAsia="Consolas" w:hAnsi="Consolas"/>
          <w:sz w:val="20"/>
          <w:szCs w:val="20"/>
        </w:rPr>
        <w:t xml:space="preserve">N</w:t>
      </w:r>
      <w:r>
        <w:rPr>
          <w:rFonts w:ascii="Calibri" w:cs="Calibri" w:eastAsia="Calibri" w:hAnsi="Calibri"/>
          <w:sz w:val="22"/>
          <w:szCs w:val="22"/>
        </w:rPr>
        <w:t xml:space="preserve"> genitourinary, </w:t>
      </w:r>
      <w:r>
        <w:rPr>
          <w:rFonts w:ascii="Consolas" w:cs="Consolas" w:eastAsia="Consolas" w:hAnsi="Consolas"/>
          <w:sz w:val="20"/>
          <w:szCs w:val="20"/>
        </w:rPr>
        <w:t xml:space="preserve">E</w:t>
      </w:r>
      <w:r>
        <w:rPr>
          <w:rFonts w:ascii="Calibri" w:cs="Calibri" w:eastAsia="Calibri" w:hAnsi="Calibri"/>
          <w:sz w:val="22"/>
          <w:szCs w:val="22"/>
        </w:rPr>
        <w:t xml:space="preserve"> endocrine/metabolic, </w:t>
      </w:r>
      <w:r>
        <w:rPr>
          <w:rFonts w:ascii="Consolas" w:cs="Consolas" w:eastAsia="Consolas" w:hAnsi="Consolas"/>
          <w:sz w:val="20"/>
          <w:szCs w:val="20"/>
        </w:rPr>
        <w:t xml:space="preserve">C</w:t>
      </w:r>
      <w:r>
        <w:rPr>
          <w:rFonts w:ascii="Calibri" w:cs="Calibri" w:eastAsia="Calibri" w:hAnsi="Calibri"/>
          <w:sz w:val="22"/>
          <w:szCs w:val="22"/>
        </w:rPr>
        <w:t xml:space="preserve"> neoplasms, </w:t>
      </w:r>
      <w:r>
        <w:rPr>
          <w:rFonts w:ascii="Consolas" w:cs="Consolas" w:eastAsia="Consolas" w:hAnsi="Consolas"/>
          <w:sz w:val="20"/>
          <w:szCs w:val="20"/>
        </w:rPr>
        <w:t xml:space="preserve">D</w:t>
      </w:r>
      <w:r>
        <w:rPr>
          <w:rFonts w:ascii="Calibri" w:cs="Calibri" w:eastAsia="Calibri" w:hAnsi="Calibri"/>
          <w:sz w:val="22"/>
          <w:szCs w:val="22"/>
        </w:rPr>
        <w:t xml:space="preserve"> blood, </w:t>
      </w:r>
      <w:r>
        <w:rPr>
          <w:rFonts w:ascii="Consolas" w:cs="Consolas" w:eastAsia="Consolas" w:hAnsi="Consolas"/>
          <w:sz w:val="20"/>
          <w:szCs w:val="20"/>
        </w:rPr>
        <w:t xml:space="preserve">R</w:t>
      </w:r>
      <w:r>
        <w:rPr>
          <w:rFonts w:ascii="Calibri" w:cs="Calibri" w:eastAsia="Calibri" w:hAnsi="Calibri"/>
          <w:sz w:val="22"/>
          <w:szCs w:val="22"/>
        </w:rPr>
        <w:t xml:space="preserve"> symptoms and signs </w:t>
      </w:r>
      <w:r>
        <w:rPr>
          <w:rFonts w:ascii="Calibri" w:cs="Calibri" w:eastAsia="Calibri" w:hAnsi="Calibri"/>
          <w:i/>
          <w:iCs/>
          <w:sz w:val="22"/>
          <w:szCs w:val="22"/>
        </w:rPr>
        <w:t xml:space="preserve">not elsewhere classified</w:t>
      </w:r>
      <w:r>
        <w:rPr>
          <w:rFonts w:ascii="Calibri" w:cs="Calibri" w:eastAsia="Calibri" w:hAnsi="Calibri"/>
          <w:sz w:val="22"/>
          <w:szCs w:val="22"/>
        </w:rPr>
        <w:t xml:space="preserve">, and </w:t>
      </w:r>
      <w:r>
        <w:rPr>
          <w:rFonts w:ascii="Consolas" w:cs="Consolas" w:eastAsia="Consolas" w:hAnsi="Consolas"/>
          <w:sz w:val="20"/>
          <w:szCs w:val="20"/>
        </w:rPr>
        <w:t xml:space="preserve">Z</w:t>
      </w:r>
      <w:r>
        <w:rPr>
          <w:rFonts w:ascii="Calibri" w:cs="Calibri" w:eastAsia="Calibri" w:hAnsi="Calibri"/>
          <w:sz w:val="22"/>
          <w:szCs w:val="22"/>
        </w:rPr>
        <w:t xml:space="preserve"> factors influencing health status (homelessness, long-term drug use, palliative care encounters).</w:t>
      </w:r>
    </w:p>
    <w:p>
      <w:pPr>
        <w:pStyle w:val="Heading1"/>
        <w:spacing w:after="160" w:before="340"/>
      </w:pPr>
      <w:r>
        <w:t xml:space="preserve">2. The pipeline</w:t>
      </w:r>
    </w:p>
    <w:p>
      <w:pPr>
        <w:spacing w:after="150"/>
      </w:pPr>
      <w:r>
        <w:rPr>
          <w:rFonts w:ascii="Calibri" w:cs="Calibri" w:eastAsia="Calibri" w:hAnsi="Calibri"/>
          <w:sz w:val="22"/>
          <w:szCs w:val="22"/>
        </w:rPr>
        <w:t xml:space="preserve">Seven notebooks, renamed to run top to bottom. Stages 9 and 10 are independent of the ontology chain and may run at any point before Stage 11.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00"/>
      </w:tblGrid>
      <w:tr>
        <w:tc>
          <w:tcPr>
            <w:tcW w:type="dxa" w:w="900"/>
            <w:shd w:fill="D9E2F3" w:val="clear"/>
            <w:tcMar>
              <w:top w:type="dxa" w:w="70"/>
              <w:left w:type="dxa" w:w="110"/>
              <w:bottom w:type="dxa" w:w="70"/>
              <w:right w:type="dxa" w:w="110"/>
            </w:tcMar>
          </w:tcPr>
          <w:p>
            <w:r>
              <w:rPr>
                <w:rFonts w:ascii="Calibri" w:cs="Calibri" w:eastAsia="Calibri" w:hAnsi="Calibri"/>
                <w:b/>
                <w:bCs/>
                <w:sz w:val="20"/>
                <w:szCs w:val="20"/>
              </w:rPr>
              <w:t xml:space="preserve">Stage</w:t>
            </w:r>
          </w:p>
        </w:tc>
        <w:tc>
          <w:tcPr>
            <w:tcW w:type="dxa" w:w="3200"/>
            <w:shd w:fill="D9E2F3" w:val="clear"/>
            <w:tcMar>
              <w:top w:type="dxa" w:w="70"/>
              <w:left w:type="dxa" w:w="110"/>
              <w:bottom w:type="dxa" w:w="70"/>
              <w:right w:type="dxa" w:w="110"/>
            </w:tcMar>
          </w:tcPr>
          <w:p>
            <w:r>
              <w:rPr>
                <w:rFonts w:ascii="Calibri" w:cs="Calibri" w:eastAsia="Calibri" w:hAnsi="Calibri"/>
                <w:b/>
                <w:bCs/>
                <w:sz w:val="20"/>
                <w:szCs w:val="20"/>
              </w:rPr>
              <w:t xml:space="preserve">Notebook</w:t>
            </w:r>
          </w:p>
        </w:tc>
        <w:tc>
          <w:tcPr>
            <w:tcW w:type="dxa" w:w="5200"/>
            <w:shd w:fill="D9E2F3" w:val="clear"/>
            <w:tcMar>
              <w:top w:type="dxa" w:w="70"/>
              <w:left w:type="dxa" w:w="110"/>
              <w:bottom w:type="dxa" w:w="70"/>
              <w:right w:type="dxa" w:w="110"/>
            </w:tcMar>
          </w:tcPr>
          <w:p>
            <w:r>
              <w:rPr>
                <w:rFonts w:ascii="Calibri" w:cs="Calibri" w:eastAsia="Calibri" w:hAnsi="Calibri"/>
                <w:b/>
                <w:bCs/>
                <w:sz w:val="20"/>
                <w:szCs w:val="20"/>
              </w:rPr>
              <w:t xml:space="preserve">Transforms</w:t>
            </w:r>
          </w:p>
        </w:tc>
      </w:tr>
      <w:tr>
        <w:tc>
          <w:tcPr>
            <w:tcW w:type="dxa" w:w="900"/>
            <w:tcMar>
              <w:top w:type="dxa" w:w="70"/>
              <w:left w:type="dxa" w:w="110"/>
              <w:bottom w:type="dxa" w:w="70"/>
              <w:right w:type="dxa" w:w="110"/>
            </w:tcMar>
          </w:tcPr>
          <w:p>
            <w:r>
              <w:rPr>
                <w:rFonts w:ascii="Calibri" w:cs="Calibri" w:eastAsia="Calibri" w:hAnsi="Calibri"/>
                <w:b w:val="false"/>
                <w:bCs w:val="false"/>
                <w:sz w:val="19"/>
                <w:szCs w:val="19"/>
              </w:rPr>
              <w:t xml:space="preserve">5</w:t>
            </w:r>
          </w:p>
        </w:tc>
        <w:tc>
          <w:tcPr>
            <w:tcW w:type="dxa" w:w="3200"/>
            <w:tcMar>
              <w:top w:type="dxa" w:w="70"/>
              <w:left w:type="dxa" w:w="110"/>
              <w:bottom w:type="dxa" w:w="70"/>
              <w:right w:type="dxa" w:w="110"/>
            </w:tcMar>
          </w:tcPr>
          <w:p>
            <w:r>
              <w:rPr>
                <w:rFonts w:ascii="Calibri" w:cs="Calibri" w:eastAsia="Calibri" w:hAnsi="Calibri"/>
                <w:b w:val="false"/>
                <w:bCs w:val="false"/>
                <w:sz w:val="19"/>
                <w:szCs w:val="19"/>
              </w:rPr>
              <w:t xml:space="preserve">ontology_routing_agent</w:t>
            </w:r>
          </w:p>
        </w:tc>
        <w:tc>
          <w:tcPr>
            <w:tcW w:type="dxa" w:w="5200"/>
            <w:tcMar>
              <w:top w:type="dxa" w:w="70"/>
              <w:left w:type="dxa" w:w="110"/>
              <w:bottom w:type="dxa" w:w="70"/>
              <w:right w:type="dxa" w:w="110"/>
            </w:tcMar>
          </w:tcPr>
          <w:p>
            <w:r>
              <w:rPr>
                <w:rFonts w:ascii="Calibri" w:cs="Calibri" w:eastAsia="Calibri" w:hAnsi="Calibri"/>
                <w:b w:val="false"/>
                <w:bCs w:val="false"/>
                <w:sz w:val="19"/>
                <w:szCs w:val="19"/>
              </w:rPr>
              <w:t xml:space="preserve">extracted symptoms → SNOMED CT concepts</w:t>
            </w:r>
          </w:p>
        </w:tc>
      </w:tr>
      <w:tr>
        <w:tc>
          <w:tcPr>
            <w:tcW w:type="dxa" w:w="900"/>
            <w:tcMar>
              <w:top w:type="dxa" w:w="70"/>
              <w:left w:type="dxa" w:w="110"/>
              <w:bottom w:type="dxa" w:w="70"/>
              <w:right w:type="dxa" w:w="110"/>
            </w:tcMar>
          </w:tcPr>
          <w:p>
            <w:r>
              <w:rPr>
                <w:rFonts w:ascii="Calibri" w:cs="Calibri" w:eastAsia="Calibri" w:hAnsi="Calibri"/>
                <w:b w:val="false"/>
                <w:bCs w:val="false"/>
                <w:sz w:val="19"/>
                <w:szCs w:val="19"/>
              </w:rPr>
              <w:t xml:space="preserve">6</w:t>
            </w:r>
          </w:p>
        </w:tc>
        <w:tc>
          <w:tcPr>
            <w:tcW w:type="dxa" w:w="3200"/>
            <w:tcMar>
              <w:top w:type="dxa" w:w="70"/>
              <w:left w:type="dxa" w:w="110"/>
              <w:bottom w:type="dxa" w:w="70"/>
              <w:right w:type="dxa" w:w="110"/>
            </w:tcMar>
          </w:tcPr>
          <w:p>
            <w:r>
              <w:rPr>
                <w:rFonts w:ascii="Calibri" w:cs="Calibri" w:eastAsia="Calibri" w:hAnsi="Calibri"/>
                <w:b w:val="false"/>
                <w:bCs w:val="false"/>
                <w:sz w:val="19"/>
                <w:szCs w:val="19"/>
              </w:rPr>
              <w:t xml:space="preserve">cross_symptom_routing</w:t>
            </w:r>
          </w:p>
        </w:tc>
        <w:tc>
          <w:tcPr>
            <w:tcW w:type="dxa" w:w="5200"/>
            <w:tcMar>
              <w:top w:type="dxa" w:w="70"/>
              <w:left w:type="dxa" w:w="110"/>
              <w:bottom w:type="dxa" w:w="70"/>
              <w:right w:type="dxa" w:w="110"/>
            </w:tcMar>
          </w:tcPr>
          <w:p>
            <w:r>
              <w:rPr>
                <w:rFonts w:ascii="Calibri" w:cs="Calibri" w:eastAsia="Calibri" w:hAnsi="Calibri"/>
                <w:b w:val="false"/>
                <w:bCs w:val="false"/>
                <w:sz w:val="19"/>
                <w:szCs w:val="19"/>
              </w:rPr>
              <w:t xml:space="preserve">concepts → symptom clusters</w:t>
            </w:r>
          </w:p>
        </w:tc>
      </w:tr>
      <w:tr>
        <w:tc>
          <w:tcPr>
            <w:tcW w:type="dxa" w:w="900"/>
            <w:tcMar>
              <w:top w:type="dxa" w:w="70"/>
              <w:left w:type="dxa" w:w="110"/>
              <w:bottom w:type="dxa" w:w="70"/>
              <w:right w:type="dxa" w:w="110"/>
            </w:tcMar>
          </w:tcPr>
          <w:p>
            <w:r>
              <w:rPr>
                <w:rFonts w:ascii="Calibri" w:cs="Calibri" w:eastAsia="Calibri" w:hAnsi="Calibri"/>
                <w:b w:val="false"/>
                <w:bCs w:val="false"/>
                <w:sz w:val="19"/>
                <w:szCs w:val="19"/>
              </w:rPr>
              <w:t xml:space="preserve">7</w:t>
            </w:r>
          </w:p>
        </w:tc>
        <w:tc>
          <w:tcPr>
            <w:tcW w:type="dxa" w:w="3200"/>
            <w:tcMar>
              <w:top w:type="dxa" w:w="70"/>
              <w:left w:type="dxa" w:w="110"/>
              <w:bottom w:type="dxa" w:w="70"/>
              <w:right w:type="dxa" w:w="110"/>
            </w:tcMar>
          </w:tcPr>
          <w:p>
            <w:r>
              <w:rPr>
                <w:rFonts w:ascii="Calibri" w:cs="Calibri" w:eastAsia="Calibri" w:hAnsi="Calibri"/>
                <w:b w:val="false"/>
                <w:bCs w:val="false"/>
                <w:sz w:val="19"/>
                <w:szCs w:val="19"/>
              </w:rPr>
              <w:t xml:space="preserve">diagnosis_inference</w:t>
            </w:r>
          </w:p>
        </w:tc>
        <w:tc>
          <w:tcPr>
            <w:tcW w:type="dxa" w:w="5200"/>
            <w:tcMar>
              <w:top w:type="dxa" w:w="70"/>
              <w:left w:type="dxa" w:w="110"/>
              <w:bottom w:type="dxa" w:w="70"/>
              <w:right w:type="dxa" w:w="110"/>
            </w:tcMar>
          </w:tcPr>
          <w:p>
            <w:r>
              <w:rPr>
                <w:rFonts w:ascii="Calibri" w:cs="Calibri" w:eastAsia="Calibri" w:hAnsi="Calibri"/>
                <w:b w:val="false"/>
                <w:bCs w:val="false"/>
                <w:sz w:val="19"/>
                <w:szCs w:val="19"/>
              </w:rPr>
              <w:t xml:space="preserve">clusters → named diagnoses (LLM), grounded to SNOMED</w:t>
            </w:r>
          </w:p>
        </w:tc>
      </w:tr>
      <w:tr>
        <w:tc>
          <w:tcPr>
            <w:tcW w:type="dxa" w:w="900"/>
            <w:tcMar>
              <w:top w:type="dxa" w:w="70"/>
              <w:left w:type="dxa" w:w="110"/>
              <w:bottom w:type="dxa" w:w="70"/>
              <w:right w:type="dxa" w:w="110"/>
            </w:tcMar>
          </w:tcPr>
          <w:p>
            <w:r>
              <w:rPr>
                <w:rFonts w:ascii="Calibri" w:cs="Calibri" w:eastAsia="Calibri" w:hAnsi="Calibri"/>
                <w:b w:val="false"/>
                <w:bCs w:val="false"/>
                <w:sz w:val="19"/>
                <w:szCs w:val="19"/>
              </w:rPr>
              <w:t xml:space="preserve">8</w:t>
            </w:r>
          </w:p>
        </w:tc>
        <w:tc>
          <w:tcPr>
            <w:tcW w:type="dxa" w:w="3200"/>
            <w:tcMar>
              <w:top w:type="dxa" w:w="70"/>
              <w:left w:type="dxa" w:w="110"/>
              <w:bottom w:type="dxa" w:w="70"/>
              <w:right w:type="dxa" w:w="110"/>
            </w:tcMar>
          </w:tcPr>
          <w:p>
            <w:r>
              <w:rPr>
                <w:rFonts w:ascii="Calibri" w:cs="Calibri" w:eastAsia="Calibri" w:hAnsi="Calibri"/>
                <w:b w:val="false"/>
                <w:bCs w:val="false"/>
                <w:sz w:val="19"/>
                <w:szCs w:val="19"/>
              </w:rPr>
              <w:t xml:space="preserve">icd_mapping</w:t>
            </w:r>
          </w:p>
        </w:tc>
        <w:tc>
          <w:tcPr>
            <w:tcW w:type="dxa" w:w="5200"/>
            <w:tcMar>
              <w:top w:type="dxa" w:w="70"/>
              <w:left w:type="dxa" w:w="110"/>
              <w:bottom w:type="dxa" w:w="70"/>
              <w:right w:type="dxa" w:w="110"/>
            </w:tcMar>
          </w:tcPr>
          <w:p>
            <w:r>
              <w:rPr>
                <w:rFonts w:ascii="Calibri" w:cs="Calibri" w:eastAsia="Calibri" w:hAnsi="Calibri"/>
                <w:b w:val="false"/>
                <w:bCs w:val="false"/>
                <w:sz w:val="19"/>
                <w:szCs w:val="19"/>
              </w:rPr>
              <w:t xml:space="preserve">diagnoses → ICD-10-CM codes</w:t>
            </w:r>
          </w:p>
        </w:tc>
      </w:tr>
      <w:tr>
        <w:tc>
          <w:tcPr>
            <w:tcW w:type="dxa" w:w="900"/>
            <w:tcMar>
              <w:top w:type="dxa" w:w="70"/>
              <w:left w:type="dxa" w:w="110"/>
              <w:bottom w:type="dxa" w:w="70"/>
              <w:right w:type="dxa" w:w="110"/>
            </w:tcMar>
          </w:tcPr>
          <w:p>
            <w:r>
              <w:rPr>
                <w:rFonts w:ascii="Calibri" w:cs="Calibri" w:eastAsia="Calibri" w:hAnsi="Calibri"/>
                <w:b w:val="false"/>
                <w:bCs w:val="false"/>
                <w:sz w:val="19"/>
                <w:szCs w:val="19"/>
              </w:rPr>
              <w:t xml:space="preserve">9</w:t>
            </w:r>
          </w:p>
        </w:tc>
        <w:tc>
          <w:tcPr>
            <w:tcW w:type="dxa" w:w="3200"/>
            <w:tcMar>
              <w:top w:type="dxa" w:w="70"/>
              <w:left w:type="dxa" w:w="110"/>
              <w:bottom w:type="dxa" w:w="70"/>
              <w:right w:type="dxa" w:w="110"/>
            </w:tcMar>
          </w:tcPr>
          <w:p>
            <w:r>
              <w:rPr>
                <w:rFonts w:ascii="Calibri" w:cs="Calibri" w:eastAsia="Calibri" w:hAnsi="Calibri"/>
                <w:b w:val="false"/>
                <w:bCs w:val="false"/>
                <w:sz w:val="19"/>
                <w:szCs w:val="19"/>
              </w:rPr>
              <w:t xml:space="preserve">history_codes</w:t>
            </w:r>
          </w:p>
        </w:tc>
        <w:tc>
          <w:tcPr>
            <w:tcW w:type="dxa" w:w="5200"/>
            <w:tcMar>
              <w:top w:type="dxa" w:w="70"/>
              <w:left w:type="dxa" w:w="110"/>
              <w:bottom w:type="dxa" w:w="70"/>
              <w:right w:type="dxa" w:w="110"/>
            </w:tcMar>
          </w:tcPr>
          <w:p>
            <w:r>
              <w:rPr>
                <w:rFonts w:ascii="Calibri" w:cs="Calibri" w:eastAsia="Calibri" w:hAnsi="Calibri"/>
                <w:b w:val="false"/>
                <w:bCs w:val="false"/>
                <w:sz w:val="19"/>
                <w:szCs w:val="19"/>
              </w:rPr>
              <w:t xml:space="preserve">prior admissions → ICD-10 codes  (independent)</w:t>
            </w:r>
          </w:p>
        </w:tc>
      </w:tr>
      <w:tr>
        <w:tc>
          <w:tcPr>
            <w:tcW w:type="dxa" w:w="900"/>
            <w:tcMar>
              <w:top w:type="dxa" w:w="70"/>
              <w:left w:type="dxa" w:w="110"/>
              <w:bottom w:type="dxa" w:w="70"/>
              <w:right w:type="dxa" w:w="110"/>
            </w:tcMar>
          </w:tcPr>
          <w:p>
            <w:r>
              <w:rPr>
                <w:rFonts w:ascii="Calibri" w:cs="Calibri" w:eastAsia="Calibri" w:hAnsi="Calibri"/>
                <w:b w:val="false"/>
                <w:bCs w:val="false"/>
                <w:sz w:val="19"/>
                <w:szCs w:val="19"/>
              </w:rPr>
              <w:t xml:space="preserve">10</w:t>
            </w:r>
          </w:p>
        </w:tc>
        <w:tc>
          <w:tcPr>
            <w:tcW w:type="dxa" w:w="3200"/>
            <w:tcMar>
              <w:top w:type="dxa" w:w="70"/>
              <w:left w:type="dxa" w:w="110"/>
              <w:bottom w:type="dxa" w:w="70"/>
              <w:right w:type="dxa" w:w="110"/>
            </w:tcMar>
          </w:tcPr>
          <w:p>
            <w:r>
              <w:rPr>
                <w:rFonts w:ascii="Calibri" w:cs="Calibri" w:eastAsia="Calibri" w:hAnsi="Calibri"/>
                <w:b w:val="false"/>
                <w:bCs w:val="false"/>
                <w:sz w:val="19"/>
                <w:szCs w:val="19"/>
              </w:rPr>
              <w:t xml:space="preserve">lab_vital_codes</w:t>
            </w:r>
          </w:p>
        </w:tc>
        <w:tc>
          <w:tcPr>
            <w:tcW w:type="dxa" w:w="5200"/>
            <w:tcMar>
              <w:top w:type="dxa" w:w="70"/>
              <w:left w:type="dxa" w:w="110"/>
              <w:bottom w:type="dxa" w:w="70"/>
              <w:right w:type="dxa" w:w="110"/>
            </w:tcMar>
          </w:tcPr>
          <w:p>
            <w:r>
              <w:rPr>
                <w:rFonts w:ascii="Calibri" w:cs="Calibri" w:eastAsia="Calibri" w:hAnsi="Calibri"/>
                <w:b w:val="false"/>
                <w:bCs w:val="false"/>
                <w:sz w:val="19"/>
                <w:szCs w:val="19"/>
              </w:rPr>
              <w:t xml:space="preserve">labs and vitals → ICD-10 codes  (independent)</w:t>
            </w:r>
          </w:p>
        </w:tc>
      </w:tr>
      <w:tr>
        <w:tc>
          <w:tcPr>
            <w:tcW w:type="dxa" w:w="900"/>
            <w:tcMar>
              <w:top w:type="dxa" w:w="70"/>
              <w:left w:type="dxa" w:w="110"/>
              <w:bottom w:type="dxa" w:w="70"/>
              <w:right w:type="dxa" w:w="110"/>
            </w:tcMar>
          </w:tcPr>
          <w:p>
            <w:r>
              <w:rPr>
                <w:rFonts w:ascii="Calibri" w:cs="Calibri" w:eastAsia="Calibri" w:hAnsi="Calibri"/>
                <w:b w:val="false"/>
                <w:bCs w:val="false"/>
                <w:sz w:val="19"/>
                <w:szCs w:val="19"/>
              </w:rPr>
              <w:t xml:space="preserve">11</w:t>
            </w:r>
          </w:p>
        </w:tc>
        <w:tc>
          <w:tcPr>
            <w:tcW w:type="dxa" w:w="3200"/>
            <w:tcMar>
              <w:top w:type="dxa" w:w="70"/>
              <w:left w:type="dxa" w:w="110"/>
              <w:bottom w:type="dxa" w:w="70"/>
              <w:right w:type="dxa" w:w="110"/>
            </w:tcMar>
          </w:tcPr>
          <w:p>
            <w:r>
              <w:rPr>
                <w:rFonts w:ascii="Calibri" w:cs="Calibri" w:eastAsia="Calibri" w:hAnsi="Calibri"/>
                <w:b w:val="false"/>
                <w:bCs w:val="false"/>
                <w:sz w:val="19"/>
                <w:szCs w:val="19"/>
              </w:rPr>
              <w:t xml:space="preserve">final_decision</w:t>
            </w:r>
          </w:p>
        </w:tc>
        <w:tc>
          <w:tcPr>
            <w:tcW w:type="dxa" w:w="5200"/>
            <w:tcMar>
              <w:top w:type="dxa" w:w="70"/>
              <w:left w:type="dxa" w:w="110"/>
              <w:bottom w:type="dxa" w:w="70"/>
              <w:right w:type="dxa" w:w="110"/>
            </w:tcMar>
          </w:tcPr>
          <w:p>
            <w:r>
              <w:rPr>
                <w:rFonts w:ascii="Calibri" w:cs="Calibri" w:eastAsia="Calibri" w:hAnsi="Calibri"/>
                <w:b w:val="false"/>
                <w:bCs w:val="false"/>
                <w:sz w:val="19"/>
                <w:szCs w:val="19"/>
              </w:rPr>
              <w:t xml:space="preserve">combines 8 + 9 + 10, ranks, evaluates</w:t>
            </w:r>
          </w:p>
        </w:tc>
      </w:tr>
    </w:tbl>
    <w:p>
      <w:pPr>
        <w:pStyle w:val="Heading2"/>
        <w:spacing w:after="110" w:before="260"/>
      </w:pPr>
      <w:r>
        <w:t xml:space="preserve">Stage 5 — Ontology Routing Agent</w:t>
      </w:r>
    </w:p>
    <w:p>
      <w:pPr>
        <w:spacing w:after="150"/>
      </w:pPr>
      <w:r>
        <w:rPr>
          <w:rFonts w:ascii="Calibri" w:cs="Calibri" w:eastAsia="Calibri" w:hAnsi="Calibri"/>
          <w:sz w:val="22"/>
          <w:szCs w:val="22"/>
        </w:rPr>
        <w:t xml:space="preserve">Grounds each extracted CURRENT_SYMPTOMS term to a real SNOMED CT concept: an LLM normalises colloquial phrasing into clinical terminology, UMLS and BioPortal are searched, candidates are filtered to disorder/finding semantic tags, and the best is chosen by cosine similarity. The concept's is-a neighbourhood is then walked and cut at its natural boundary.</w:t>
      </w:r>
    </w:p>
    <w:p>
      <w:pPr>
        <w:spacing w:after="150"/>
      </w:pPr>
      <w:r>
        <w:rPr>
          <w:rFonts w:ascii="Calibri" w:cs="Calibri" w:eastAsia="Calibri" w:hAnsi="Calibri"/>
          <w:b/>
          <w:bCs/>
          <w:sz w:val="22"/>
          <w:szCs w:val="22"/>
        </w:rPr>
        <w:t xml:space="preserve">Scope decision: </w:t>
      </w:r>
      <w:r>
        <w:rPr>
          <w:rFonts w:ascii="Calibri" w:cs="Calibri" w:eastAsia="Calibri" w:hAnsi="Calibri"/>
          <w:sz w:val="22"/>
          <w:szCs w:val="22"/>
        </w:rPr>
        <w:t xml:space="preserve">only CURRENT_SYMPTOMS are routed. DOCUMENTED_DIAGNOSES and prior history are carried forward untouched — they are already-known facts, not things to infer, and re-deriving them would inflate apparent performance.</w:t>
      </w:r>
    </w:p>
    <w:p>
      <w:pPr>
        <w:pStyle w:val="Heading2"/>
        <w:spacing w:after="110" w:before="260"/>
      </w:pPr>
      <w:r>
        <w:t xml:space="preserve">Stage 6 — Cross-Symptom Routing</w:t>
      </w:r>
    </w:p>
    <w:p>
      <w:pPr>
        <w:spacing w:after="150"/>
      </w:pPr>
      <w:r>
        <w:rPr>
          <w:rFonts w:ascii="Calibri" w:cs="Calibri" w:eastAsia="Calibri" w:hAnsi="Calibri"/>
          <w:sz w:val="22"/>
          <w:szCs w:val="22"/>
        </w:rPr>
        <w:t xml:space="preserve">Scores every pair of grounded symptoms for relatedness, applies a median/MAD-based cutoff to flag significant connections, and groups them into clusters via connected components. The premise: if two independently-extracted symptoms converge, that convergence is evidence of a shared underlying diagnosis.</w:t>
      </w:r>
    </w:p>
    <w:p>
      <w:pPr>
        <w:pStyle w:val="Heading2"/>
        <w:spacing w:after="110" w:before="260"/>
      </w:pPr>
      <w:r>
        <w:t xml:space="preserve">Stage 7 — Diagnosis Inference</w:t>
      </w:r>
    </w:p>
    <w:p>
      <w:pPr>
        <w:spacing w:after="150"/>
      </w:pPr>
      <w:r>
        <w:rPr>
          <w:rFonts w:ascii="Calibri" w:cs="Calibri" w:eastAsia="Calibri" w:hAnsi="Calibri"/>
          <w:sz w:val="22"/>
          <w:szCs w:val="22"/>
        </w:rPr>
        <w:t xml:space="preserve">Takes each cluster with the verbatim evidence quotes from the note and asks the LLM what condition those co-occurring findings support, then grounds the answer to SNOMED. This is the step that converts symptoms into diagnoses — Hypoxemia becomes Respiratory Failure — which matters because coders assign diseases, not symptoms.</w:t>
      </w:r>
    </w:p>
    <w:p>
      <w:pPr>
        <w:pStyle w:val="Heading2"/>
        <w:spacing w:after="110" w:before="260"/>
      </w:pPr>
      <w:r>
        <w:t xml:space="preserve">Stage 8 — ICD-10 Mapping</w:t>
      </w:r>
    </w:p>
    <w:p>
      <w:pPr>
        <w:spacing w:after="150"/>
      </w:pPr>
      <w:r>
        <w:rPr>
          <w:rFonts w:ascii="Calibri" w:cs="Calibri" w:eastAsia="Calibri" w:hAnsi="Calibri"/>
          <w:sz w:val="22"/>
          <w:szCs w:val="22"/>
        </w:rPr>
        <w:t xml:space="preserve">Maps diagnoses to ICD-10-CM through three routes, most trustworthy first: the official NLM rule-based SNOMED→ICD-10-CM map (98% concept coverage), the UMLS CUI crosswalk, then an ICD-10-CM text search re-ranked by cosine similarity.</w:t>
      </w:r>
    </w:p>
    <w:p>
      <w:pPr>
        <w:pStyle w:val="Heading2"/>
        <w:spacing w:after="110" w:before="260"/>
      </w:pPr>
      <w:r>
        <w:t xml:space="preserve">Stage 9 — Prior-Admission Carry-Forward</w:t>
      </w:r>
    </w:p>
    <w:p>
      <w:pPr>
        <w:spacing w:after="150"/>
      </w:pPr>
      <w:r>
        <w:rPr>
          <w:rFonts w:ascii="Calibri" w:cs="Calibri" w:eastAsia="Calibri" w:hAnsi="Calibri"/>
          <w:sz w:val="22"/>
          <w:szCs w:val="22"/>
        </w:rPr>
        <w:t xml:space="preserve">Carries every ICD-10 code from the patient's previous admissions forward as a scored candidate, weighted by recurrence, recency, and whether it was ever a primary diagnosis.</w:t>
      </w:r>
    </w:p>
    <w:p>
      <w:pPr>
        <w:pStyle w:val="Heading2"/>
        <w:spacing w:after="110" w:before="260"/>
      </w:pPr>
      <w:r>
        <w:t xml:space="preserve">Stage 10 — Lab and Vital Rules</w:t>
      </w:r>
    </w:p>
    <w:p>
      <w:pPr>
        <w:spacing w:after="150"/>
      </w:pPr>
      <w:r>
        <w:rPr>
          <w:rFonts w:ascii="Calibri" w:cs="Calibri" w:eastAsia="Calibri" w:hAnsi="Calibri"/>
          <w:sz w:val="22"/>
          <w:szCs w:val="22"/>
        </w:rPr>
        <w:t xml:space="preserve">Deterministic if-then rules over measured values: pH below 7.35 emits E87.2 acidosis; BMI below 20 emits Z68.1. No model and no inference.</w:t>
      </w:r>
    </w:p>
    <w:p>
      <w:pPr>
        <w:pStyle w:val="Heading2"/>
        <w:spacing w:after="110" w:before="260"/>
      </w:pPr>
      <w:r>
        <w:t xml:space="preserve">Stage 11 — Final Decision</w:t>
      </w:r>
    </w:p>
    <w:p>
      <w:pPr>
        <w:spacing w:after="150"/>
      </w:pPr>
      <w:r>
        <w:rPr>
          <w:rFonts w:ascii="Calibri" w:cs="Calibri" w:eastAsia="Calibri" w:hAnsi="Calibri"/>
          <w:sz w:val="22"/>
          <w:szCs w:val="22"/>
        </w:rPr>
        <w:t xml:space="preserve">Combines all three candidate sources by union with per-source thresholds — a code qualifies if any single route vouches for it. Agreement between routes boosts ranking but is never required, so patients missing labs or imaging degrade gracefully rather than failing.</w:t>
      </w:r>
    </w:p>
    <w:p>
      <w:pPr>
        <w:pStyle w:val="Heading1"/>
        <w:spacing w:after="160" w:before="340"/>
      </w:pPr>
      <w:r>
        <w:t xml:space="preserve">3. Results</w:t>
      </w:r>
    </w:p>
    <w:p>
      <w:pPr>
        <w:pStyle w:val="Heading2"/>
        <w:spacing w:after="110" w:before="260"/>
      </w:pPr>
      <w:r>
        <w:t xml:space="preserve">Per-source performance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400"/>
        <w:gridCol w:w="1300"/>
        <w:gridCol w:w="1700"/>
      </w:tblGrid>
      <w:tr>
        <w:tc>
          <w:tcPr>
            <w:tcW w:type="dxa" w:w="3400"/>
            <w:shd w:fill="D9E2F3" w:val="clear"/>
            <w:tcMar>
              <w:top w:type="dxa" w:w="70"/>
              <w:left w:type="dxa" w:w="110"/>
              <w:bottom w:type="dxa" w:w="70"/>
              <w:right w:type="dxa" w:w="110"/>
            </w:tcMar>
          </w:tcPr>
          <w:p>
            <w:r>
              <w:rPr>
                <w:rFonts w:ascii="Calibri" w:cs="Calibri" w:eastAsia="Calibri" w:hAnsi="Calibri"/>
                <w:b/>
                <w:bCs/>
                <w:sz w:val="20"/>
                <w:szCs w:val="20"/>
              </w:rPr>
              <w:t xml:space="preserve">Source</w:t>
            </w:r>
          </w:p>
        </w:tc>
        <w:tc>
          <w:tcPr>
            <w:tcW w:type="dxa" w:w="1500"/>
            <w:shd w:fill="D9E2F3" w:val="clear"/>
            <w:tcMar>
              <w:top w:type="dxa" w:w="70"/>
              <w:left w:type="dxa" w:w="110"/>
              <w:bottom w:type="dxa" w:w="70"/>
              <w:right w:type="dxa" w:w="110"/>
            </w:tcMar>
          </w:tcPr>
          <w:p>
            <w:r>
              <w:rPr>
                <w:rFonts w:ascii="Calibri" w:cs="Calibri" w:eastAsia="Calibri" w:hAnsi="Calibri"/>
                <w:b/>
                <w:bCs/>
                <w:sz w:val="20"/>
                <w:szCs w:val="20"/>
              </w:rPr>
              <w:t xml:space="preserve">Predictions</w:t>
            </w:r>
          </w:p>
        </w:tc>
        <w:tc>
          <w:tcPr>
            <w:tcW w:type="dxa" w:w="1400"/>
            <w:shd w:fill="D9E2F3" w:val="clear"/>
            <w:tcMar>
              <w:top w:type="dxa" w:w="70"/>
              <w:left w:type="dxa" w:w="110"/>
              <w:bottom w:type="dxa" w:w="70"/>
              <w:right w:type="dxa" w:w="110"/>
            </w:tcMar>
          </w:tcPr>
          <w:p>
            <w:r>
              <w:rPr>
                <w:rFonts w:ascii="Calibri" w:cs="Calibri" w:eastAsia="Calibri" w:hAnsi="Calibri"/>
                <w:b/>
                <w:bCs/>
                <w:sz w:val="20"/>
                <w:szCs w:val="20"/>
              </w:rPr>
              <w:t xml:space="preserve">Precision</w:t>
            </w:r>
          </w:p>
        </w:tc>
        <w:tc>
          <w:tcPr>
            <w:tcW w:type="dxa" w:w="1300"/>
            <w:shd w:fill="D9E2F3" w:val="clear"/>
            <w:tcMar>
              <w:top w:type="dxa" w:w="70"/>
              <w:left w:type="dxa" w:w="110"/>
              <w:bottom w:type="dxa" w:w="70"/>
              <w:right w:type="dxa" w:w="110"/>
            </w:tcMar>
          </w:tcPr>
          <w:p>
            <w:r>
              <w:rPr>
                <w:rFonts w:ascii="Calibri" w:cs="Calibri" w:eastAsia="Calibri" w:hAnsi="Calibri"/>
                <w:b/>
                <w:bCs/>
                <w:sz w:val="20"/>
                <w:szCs w:val="20"/>
              </w:rPr>
              <w:t xml:space="preserve">Recall</w:t>
            </w:r>
          </w:p>
        </w:tc>
        <w:tc>
          <w:tcPr>
            <w:tcW w:type="dxa" w:w="1700"/>
            <w:shd w:fill="D9E2F3" w:val="clear"/>
            <w:tcMar>
              <w:top w:type="dxa" w:w="70"/>
              <w:left w:type="dxa" w:w="110"/>
              <w:bottom w:type="dxa" w:w="70"/>
              <w:right w:type="dxa" w:w="110"/>
            </w:tcMar>
          </w:tcPr>
          <w:p>
            <w:r>
              <w:rPr>
                <w:rFonts w:ascii="Calibri" w:cs="Calibri" w:eastAsia="Calibri" w:hAnsi="Calibri"/>
                <w:b/>
                <w:bCs/>
                <w:sz w:val="20"/>
                <w:szCs w:val="20"/>
              </w:rPr>
              <w:t xml:space="preserve">macro F1</w:t>
            </w:r>
          </w:p>
        </w:tc>
      </w:tr>
      <w:tr>
        <w:tc>
          <w:tcPr>
            <w:tcW w:type="dxa" w:w="3400"/>
            <w:tcMar>
              <w:top w:type="dxa" w:w="70"/>
              <w:left w:type="dxa" w:w="110"/>
              <w:bottom w:type="dxa" w:w="70"/>
              <w:right w:type="dxa" w:w="110"/>
            </w:tcMar>
          </w:tcPr>
          <w:p>
            <w:r>
              <w:rPr>
                <w:rFonts w:ascii="Calibri" w:cs="Calibri" w:eastAsia="Calibri" w:hAnsi="Calibri"/>
                <w:b w:val="false"/>
                <w:bCs w:val="false"/>
                <w:sz w:val="19"/>
                <w:szCs w:val="19"/>
              </w:rPr>
              <w:t xml:space="preserve">Stage 9 — history (≥0.3)</w:t>
            </w:r>
          </w:p>
        </w:tc>
        <w:tc>
          <w:tcPr>
            <w:tcW w:type="dxa" w:w="1500"/>
            <w:tcMar>
              <w:top w:type="dxa" w:w="70"/>
              <w:left w:type="dxa" w:w="110"/>
              <w:bottom w:type="dxa" w:w="70"/>
              <w:right w:type="dxa" w:w="110"/>
            </w:tcMar>
          </w:tcPr>
          <w:p>
            <w:r>
              <w:rPr>
                <w:rFonts w:ascii="Calibri" w:cs="Calibri" w:eastAsia="Calibri" w:hAnsi="Calibri"/>
                <w:b w:val="false"/>
                <w:bCs w:val="false"/>
                <w:sz w:val="19"/>
                <w:szCs w:val="19"/>
              </w:rPr>
              <w:t xml:space="preserve">314</w:t>
            </w:r>
          </w:p>
        </w:tc>
        <w:tc>
          <w:tcPr>
            <w:tcW w:type="dxa" w:w="1400"/>
            <w:tcMar>
              <w:top w:type="dxa" w:w="70"/>
              <w:left w:type="dxa" w:w="110"/>
              <w:bottom w:type="dxa" w:w="70"/>
              <w:right w:type="dxa" w:w="110"/>
            </w:tcMar>
          </w:tcPr>
          <w:p>
            <w:r>
              <w:rPr>
                <w:rFonts w:ascii="Calibri" w:cs="Calibri" w:eastAsia="Calibri" w:hAnsi="Calibri"/>
                <w:b w:val="false"/>
                <w:bCs w:val="false"/>
                <w:sz w:val="19"/>
                <w:szCs w:val="19"/>
              </w:rPr>
              <w:t xml:space="preserve">0.354</w:t>
            </w:r>
          </w:p>
        </w:tc>
        <w:tc>
          <w:tcPr>
            <w:tcW w:type="dxa" w:w="1300"/>
            <w:tcMar>
              <w:top w:type="dxa" w:w="70"/>
              <w:left w:type="dxa" w:w="110"/>
              <w:bottom w:type="dxa" w:w="70"/>
              <w:right w:type="dxa" w:w="110"/>
            </w:tcMar>
          </w:tcPr>
          <w:p>
            <w:r>
              <w:rPr>
                <w:rFonts w:ascii="Calibri" w:cs="Calibri" w:eastAsia="Calibri" w:hAnsi="Calibri"/>
                <w:b w:val="false"/>
                <w:bCs w:val="false"/>
                <w:sz w:val="19"/>
                <w:szCs w:val="19"/>
              </w:rPr>
              <w:t xml:space="preserve">0.449</w:t>
            </w:r>
          </w:p>
        </w:tc>
        <w:tc>
          <w:tcPr>
            <w:tcW w:type="dxa" w:w="1700"/>
            <w:tcMar>
              <w:top w:type="dxa" w:w="70"/>
              <w:left w:type="dxa" w:w="110"/>
              <w:bottom w:type="dxa" w:w="70"/>
              <w:right w:type="dxa" w:w="110"/>
            </w:tcMar>
          </w:tcPr>
          <w:p>
            <w:r>
              <w:rPr>
                <w:rFonts w:ascii="Calibri" w:cs="Calibri" w:eastAsia="Calibri" w:hAnsi="Calibri"/>
                <w:b w:val="false"/>
                <w:bCs w:val="false"/>
                <w:sz w:val="19"/>
                <w:szCs w:val="19"/>
              </w:rPr>
              <w:t xml:space="preserve">0.379</w:t>
            </w:r>
          </w:p>
        </w:tc>
      </w:tr>
      <w:tr>
        <w:tc>
          <w:tcPr>
            <w:tcW w:type="dxa" w:w="3400"/>
            <w:tcMar>
              <w:top w:type="dxa" w:w="70"/>
              <w:left w:type="dxa" w:w="110"/>
              <w:bottom w:type="dxa" w:w="70"/>
              <w:right w:type="dxa" w:w="110"/>
            </w:tcMar>
          </w:tcPr>
          <w:p>
            <w:r>
              <w:rPr>
                <w:rFonts w:ascii="Calibri" w:cs="Calibri" w:eastAsia="Calibri" w:hAnsi="Calibri"/>
                <w:b w:val="false"/>
                <w:bCs w:val="false"/>
                <w:sz w:val="19"/>
                <w:szCs w:val="19"/>
              </w:rPr>
              <w:t xml:space="preserve">Stage 10 — labs/vitals</w:t>
            </w:r>
          </w:p>
        </w:tc>
        <w:tc>
          <w:tcPr>
            <w:tcW w:type="dxa" w:w="1500"/>
            <w:tcMar>
              <w:top w:type="dxa" w:w="70"/>
              <w:left w:type="dxa" w:w="110"/>
              <w:bottom w:type="dxa" w:w="70"/>
              <w:right w:type="dxa" w:w="110"/>
            </w:tcMar>
          </w:tcPr>
          <w:p>
            <w:r>
              <w:rPr>
                <w:rFonts w:ascii="Calibri" w:cs="Calibri" w:eastAsia="Calibri" w:hAnsi="Calibri"/>
                <w:b w:val="false"/>
                <w:bCs w:val="false"/>
                <w:sz w:val="19"/>
                <w:szCs w:val="19"/>
              </w:rPr>
              <w:t xml:space="preserve">29</w:t>
            </w:r>
          </w:p>
        </w:tc>
        <w:tc>
          <w:tcPr>
            <w:tcW w:type="dxa" w:w="1400"/>
            <w:tcMar>
              <w:top w:type="dxa" w:w="70"/>
              <w:left w:type="dxa" w:w="110"/>
              <w:bottom w:type="dxa" w:w="70"/>
              <w:right w:type="dxa" w:w="110"/>
            </w:tcMar>
          </w:tcPr>
          <w:p>
            <w:r>
              <w:rPr>
                <w:rFonts w:ascii="Calibri" w:cs="Calibri" w:eastAsia="Calibri" w:hAnsi="Calibri"/>
                <w:b w:val="false"/>
                <w:bCs w:val="false"/>
                <w:sz w:val="19"/>
                <w:szCs w:val="19"/>
              </w:rPr>
              <w:t xml:space="preserve">0.483</w:t>
            </w:r>
          </w:p>
        </w:tc>
        <w:tc>
          <w:tcPr>
            <w:tcW w:type="dxa" w:w="1300"/>
            <w:tcMar>
              <w:top w:type="dxa" w:w="70"/>
              <w:left w:type="dxa" w:w="110"/>
              <w:bottom w:type="dxa" w:w="70"/>
              <w:right w:type="dxa" w:w="110"/>
            </w:tcMar>
          </w:tcPr>
          <w:p>
            <w:r>
              <w:rPr>
                <w:rFonts w:ascii="Calibri" w:cs="Calibri" w:eastAsia="Calibri" w:hAnsi="Calibri"/>
                <w:b w:val="false"/>
                <w:bCs w:val="false"/>
                <w:sz w:val="19"/>
                <w:szCs w:val="19"/>
              </w:rPr>
              <w:t xml:space="preserve">0.057</w:t>
            </w:r>
          </w:p>
        </w:tc>
        <w:tc>
          <w:tcPr>
            <w:tcW w:type="dxa" w:w="1700"/>
            <w:tcMar>
              <w:top w:type="dxa" w:w="70"/>
              <w:left w:type="dxa" w:w="110"/>
              <w:bottom w:type="dxa" w:w="70"/>
              <w:right w:type="dxa" w:w="110"/>
            </w:tcMar>
          </w:tcPr>
          <w:p>
            <w:r>
              <w:rPr>
                <w:rFonts w:ascii="Calibri" w:cs="Calibri" w:eastAsia="Calibri" w:hAnsi="Calibri"/>
                <w:b w:val="false"/>
                <w:bCs w:val="false"/>
                <w:sz w:val="19"/>
                <w:szCs w:val="19"/>
              </w:rPr>
              <w:t xml:space="preserve">0.089</w:t>
            </w:r>
          </w:p>
        </w:tc>
      </w:tr>
      <w:tr>
        <w:tc>
          <w:tcPr>
            <w:tcW w:type="dxa" w:w="3400"/>
            <w:tcMar>
              <w:top w:type="dxa" w:w="70"/>
              <w:left w:type="dxa" w:w="110"/>
              <w:bottom w:type="dxa" w:w="70"/>
              <w:right w:type="dxa" w:w="110"/>
            </w:tcMar>
          </w:tcPr>
          <w:p>
            <w:r>
              <w:rPr>
                <w:rFonts w:ascii="Calibri" w:cs="Calibri" w:eastAsia="Calibri" w:hAnsi="Calibri"/>
                <w:b w:val="false"/>
                <w:bCs w:val="false"/>
                <w:sz w:val="19"/>
                <w:szCs w:val="19"/>
              </w:rPr>
              <w:t xml:space="preserve">Stage 8 — ontology chain</w:t>
            </w:r>
          </w:p>
        </w:tc>
        <w:tc>
          <w:tcPr>
            <w:tcW w:type="dxa" w:w="1500"/>
            <w:tcMar>
              <w:top w:type="dxa" w:w="70"/>
              <w:left w:type="dxa" w:w="110"/>
              <w:bottom w:type="dxa" w:w="70"/>
              <w:right w:type="dxa" w:w="110"/>
            </w:tcMar>
          </w:tcPr>
          <w:p>
            <w:r>
              <w:rPr>
                <w:rFonts w:ascii="Calibri" w:cs="Calibri" w:eastAsia="Calibri" w:hAnsi="Calibri"/>
                <w:b w:val="false"/>
                <w:bCs w:val="false"/>
                <w:sz w:val="19"/>
                <w:szCs w:val="19"/>
              </w:rPr>
              <w:t xml:space="preserve">64</w:t>
            </w:r>
          </w:p>
        </w:tc>
        <w:tc>
          <w:tcPr>
            <w:tcW w:type="dxa" w:w="1400"/>
            <w:tcMar>
              <w:top w:type="dxa" w:w="70"/>
              <w:left w:type="dxa" w:w="110"/>
              <w:bottom w:type="dxa" w:w="70"/>
              <w:right w:type="dxa" w:w="110"/>
            </w:tcMar>
          </w:tcPr>
          <w:p>
            <w:r>
              <w:rPr>
                <w:rFonts w:ascii="Calibri" w:cs="Calibri" w:eastAsia="Calibri" w:hAnsi="Calibri"/>
                <w:b w:val="false"/>
                <w:bCs w:val="false"/>
                <w:sz w:val="19"/>
                <w:szCs w:val="19"/>
              </w:rPr>
              <w:t xml:space="preserve">0.156</w:t>
            </w:r>
          </w:p>
        </w:tc>
        <w:tc>
          <w:tcPr>
            <w:tcW w:type="dxa" w:w="1300"/>
            <w:tcMar>
              <w:top w:type="dxa" w:w="70"/>
              <w:left w:type="dxa" w:w="110"/>
              <w:bottom w:type="dxa" w:w="70"/>
              <w:right w:type="dxa" w:w="110"/>
            </w:tcMar>
          </w:tcPr>
          <w:p>
            <w:r>
              <w:rPr>
                <w:rFonts w:ascii="Calibri" w:cs="Calibri" w:eastAsia="Calibri" w:hAnsi="Calibri"/>
                <w:b w:val="false"/>
                <w:bCs w:val="false"/>
                <w:sz w:val="19"/>
                <w:szCs w:val="19"/>
              </w:rPr>
              <w:t xml:space="preserve">0.040</w:t>
            </w:r>
          </w:p>
        </w:tc>
        <w:tc>
          <w:tcPr>
            <w:tcW w:type="dxa" w:w="1700"/>
            <w:tcMar>
              <w:top w:type="dxa" w:w="70"/>
              <w:left w:type="dxa" w:w="110"/>
              <w:bottom w:type="dxa" w:w="70"/>
              <w:right w:type="dxa" w:w="110"/>
            </w:tcMar>
          </w:tcPr>
          <w:p>
            <w:r>
              <w:rPr>
                <w:rFonts w:ascii="Calibri" w:cs="Calibri" w:eastAsia="Calibri" w:hAnsi="Calibri"/>
                <w:b w:val="false"/>
                <w:bCs w:val="false"/>
                <w:sz w:val="19"/>
                <w:szCs w:val="19"/>
              </w:rPr>
              <w:t xml:space="preserve">0.044</w:t>
            </w:r>
          </w:p>
        </w:tc>
      </w:tr>
    </w:tbl>
    <w:p>
      <w:pPr>
        <w:spacing w:after="150"/>
      </w:pPr>
      <w:r>
        <w:rPr>
          <w:rFonts w:ascii="Calibri" w:cs="Calibri" w:eastAsia="Calibri" w:hAnsi="Calibri"/>
          <w:b/>
          <w:bCs/>
          <w:sz w:val="22"/>
          <w:szCs w:val="22"/>
        </w:rPr>
        <w:t xml:space="preserve">Patient history alone reaches F1 0.363 with no NLP whatsoever</w:t>
      </w:r>
      <w:r>
        <w:rPr>
          <w:rFonts w:ascii="Calibri" w:cs="Calibri" w:eastAsia="Calibri" w:hAnsi="Calibri"/>
          <w:sz w:val="22"/>
          <w:szCs w:val="22"/>
        </w:rPr>
        <w:t xml:space="preserve"> — 48.2% of an admission's codes (119 of 247) appear in that patient's prior admissions. Lab rules are the most precise source at 48.3%, but cover little. The ontology chain is the weakest by exact-match F1.</w:t>
      </w:r>
    </w:p>
    <w:p>
      <w:pPr>
        <w:pStyle w:val="Heading2"/>
        <w:spacing w:after="110" w:before="260"/>
      </w:pPr>
      <w:r>
        <w:t xml:space="preserve">Configuration comparison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050"/>
        <w:gridCol w:w="1150"/>
        <w:gridCol w:w="1600"/>
      </w:tblGrid>
      <w:tr>
        <w:tc>
          <w:tcPr>
            <w:tcW w:type="dxa" w:w="3500"/>
            <w:shd w:fill="D9E2F3" w:val="clear"/>
            <w:tcMar>
              <w:top w:type="dxa" w:w="70"/>
              <w:left w:type="dxa" w:w="110"/>
              <w:bottom w:type="dxa" w:w="70"/>
              <w:right w:type="dxa" w:w="110"/>
            </w:tcMar>
          </w:tcPr>
          <w:p>
            <w:r>
              <w:rPr>
                <w:rFonts w:ascii="Calibri" w:cs="Calibri" w:eastAsia="Calibri" w:hAnsi="Calibri"/>
                <w:b/>
                <w:bCs/>
                <w:sz w:val="20"/>
                <w:szCs w:val="20"/>
              </w:rPr>
              <w:t xml:space="preserve">Configuration</w:t>
            </w:r>
          </w:p>
        </w:tc>
        <w:tc>
          <w:tcPr>
            <w:tcW w:type="dxa" w:w="1200"/>
            <w:shd w:fill="D9E2F3" w:val="clear"/>
            <w:tcMar>
              <w:top w:type="dxa" w:w="70"/>
              <w:left w:type="dxa" w:w="110"/>
              <w:bottom w:type="dxa" w:w="70"/>
              <w:right w:type="dxa" w:w="110"/>
            </w:tcMar>
          </w:tcPr>
          <w:p>
            <w:r>
              <w:rPr>
                <w:rFonts w:ascii="Calibri" w:cs="Calibri" w:eastAsia="Calibri" w:hAnsi="Calibri"/>
                <w:b/>
                <w:bCs/>
                <w:sz w:val="20"/>
                <w:szCs w:val="20"/>
              </w:rPr>
              <w:t xml:space="preserve">macro F1</w:t>
            </w:r>
          </w:p>
        </w:tc>
        <w:tc>
          <w:tcPr>
            <w:tcW w:type="dxa" w:w="1200"/>
            <w:shd w:fill="D9E2F3" w:val="clear"/>
            <w:tcMar>
              <w:top w:type="dxa" w:w="70"/>
              <w:left w:type="dxa" w:w="110"/>
              <w:bottom w:type="dxa" w:w="70"/>
              <w:right w:type="dxa" w:w="110"/>
            </w:tcMar>
          </w:tcPr>
          <w:p>
            <w:r>
              <w:rPr>
                <w:rFonts w:ascii="Calibri" w:cs="Calibri" w:eastAsia="Calibri" w:hAnsi="Calibri"/>
                <w:b/>
                <w:bCs/>
                <w:sz w:val="20"/>
                <w:szCs w:val="20"/>
              </w:rPr>
              <w:t xml:space="preserve">micro F1</w:t>
            </w:r>
          </w:p>
        </w:tc>
        <w:tc>
          <w:tcPr>
            <w:tcW w:type="dxa" w:w="1050"/>
            <w:shd w:fill="D9E2F3" w:val="clear"/>
            <w:tcMar>
              <w:top w:type="dxa" w:w="70"/>
              <w:left w:type="dxa" w:w="110"/>
              <w:bottom w:type="dxa" w:w="70"/>
              <w:right w:type="dxa" w:w="110"/>
            </w:tcMar>
          </w:tcPr>
          <w:p>
            <w:r>
              <w:rPr>
                <w:rFonts w:ascii="Calibri" w:cs="Calibri" w:eastAsia="Calibri" w:hAnsi="Calibri"/>
                <w:b/>
                <w:bCs/>
                <w:sz w:val="20"/>
                <w:szCs w:val="20"/>
              </w:rPr>
              <w:t xml:space="preserve">Prec</w:t>
            </w:r>
          </w:p>
        </w:tc>
        <w:tc>
          <w:tcPr>
            <w:tcW w:type="dxa" w:w="1150"/>
            <w:shd w:fill="D9E2F3" w:val="clear"/>
            <w:tcMar>
              <w:top w:type="dxa" w:w="70"/>
              <w:left w:type="dxa" w:w="110"/>
              <w:bottom w:type="dxa" w:w="70"/>
              <w:right w:type="dxa" w:w="110"/>
            </w:tcMar>
          </w:tcPr>
          <w:p>
            <w:r>
              <w:rPr>
                <w:rFonts w:ascii="Calibri" w:cs="Calibri" w:eastAsia="Calibri" w:hAnsi="Calibri"/>
                <w:b/>
                <w:bCs/>
                <w:sz w:val="20"/>
                <w:szCs w:val="20"/>
              </w:rPr>
              <w:t xml:space="preserve">Recall</w:t>
            </w:r>
          </w:p>
        </w:tc>
        <w:tc>
          <w:tcPr>
            <w:tcW w:type="dxa" w:w="1600"/>
            <w:shd w:fill="D9E2F3" w:val="clear"/>
            <w:tcMar>
              <w:top w:type="dxa" w:w="70"/>
              <w:left w:type="dxa" w:w="110"/>
              <w:bottom w:type="dxa" w:w="70"/>
              <w:right w:type="dxa" w:w="110"/>
            </w:tcMar>
          </w:tcPr>
          <w:p>
            <w:r>
              <w:rPr>
                <w:rFonts w:ascii="Calibri" w:cs="Calibri" w:eastAsia="Calibri" w:hAnsi="Calibri"/>
                <w:b/>
                <w:bCs/>
                <w:sz w:val="20"/>
                <w:szCs w:val="20"/>
              </w:rPr>
              <w:t xml:space="preserve">Category recall</w:t>
            </w:r>
          </w:p>
        </w:tc>
      </w:tr>
      <w:tr>
        <w:tc>
          <w:tcPr>
            <w:tcW w:type="dxa" w:w="3500"/>
            <w:tcMar>
              <w:top w:type="dxa" w:w="70"/>
              <w:left w:type="dxa" w:w="110"/>
              <w:bottom w:type="dxa" w:w="70"/>
              <w:right w:type="dxa" w:w="110"/>
            </w:tcMar>
          </w:tcPr>
          <w:p>
            <w:r>
              <w:rPr>
                <w:rFonts w:ascii="Calibri" w:cs="Calibri" w:eastAsia="Calibri" w:hAnsi="Calibri"/>
                <w:b w:val="false"/>
                <w:bCs w:val="false"/>
                <w:sz w:val="19"/>
                <w:szCs w:val="19"/>
              </w:rPr>
              <w:t xml:space="preserve">A. history + labs (ontology excluded)</w:t>
            </w:r>
          </w:p>
        </w:tc>
        <w:tc>
          <w:tcPr>
            <w:tcW w:type="dxa" w:w="1200"/>
            <w:tcMar>
              <w:top w:type="dxa" w:w="70"/>
              <w:left w:type="dxa" w:w="110"/>
              <w:bottom w:type="dxa" w:w="70"/>
              <w:right w:type="dxa" w:w="110"/>
            </w:tcMar>
          </w:tcPr>
          <w:p>
            <w:r>
              <w:rPr>
                <w:rFonts w:ascii="Calibri" w:cs="Calibri" w:eastAsia="Calibri" w:hAnsi="Calibri"/>
                <w:b w:val="false"/>
                <w:bCs w:val="false"/>
                <w:sz w:val="19"/>
                <w:szCs w:val="19"/>
              </w:rPr>
              <w:t xml:space="preserve">0.389</w:t>
            </w:r>
          </w:p>
        </w:tc>
        <w:tc>
          <w:tcPr>
            <w:tcW w:type="dxa" w:w="1200"/>
            <w:tcMar>
              <w:top w:type="dxa" w:w="70"/>
              <w:left w:type="dxa" w:w="110"/>
              <w:bottom w:type="dxa" w:w="70"/>
              <w:right w:type="dxa" w:w="110"/>
            </w:tcMar>
          </w:tcPr>
          <w:p>
            <w:r>
              <w:rPr>
                <w:rFonts w:ascii="Calibri" w:cs="Calibri" w:eastAsia="Calibri" w:hAnsi="Calibri"/>
                <w:b w:val="false"/>
                <w:bCs w:val="false"/>
                <w:sz w:val="19"/>
                <w:szCs w:val="19"/>
              </w:rPr>
              <w:t xml:space="preserve">0.405</w:t>
            </w:r>
          </w:p>
        </w:tc>
        <w:tc>
          <w:tcPr>
            <w:tcW w:type="dxa" w:w="1050"/>
            <w:tcMar>
              <w:top w:type="dxa" w:w="70"/>
              <w:left w:type="dxa" w:w="110"/>
              <w:bottom w:type="dxa" w:w="70"/>
              <w:right w:type="dxa" w:w="110"/>
            </w:tcMar>
          </w:tcPr>
          <w:p>
            <w:r>
              <w:rPr>
                <w:rFonts w:ascii="Calibri" w:cs="Calibri" w:eastAsia="Calibri" w:hAnsi="Calibri"/>
                <w:b w:val="false"/>
                <w:bCs w:val="false"/>
                <w:sz w:val="19"/>
                <w:szCs w:val="19"/>
              </w:rPr>
              <w:t xml:space="preserve">0.353</w:t>
            </w:r>
          </w:p>
        </w:tc>
        <w:tc>
          <w:tcPr>
            <w:tcW w:type="dxa" w:w="1150"/>
            <w:tcMar>
              <w:top w:type="dxa" w:w="70"/>
              <w:left w:type="dxa" w:w="110"/>
              <w:bottom w:type="dxa" w:w="70"/>
              <w:right w:type="dxa" w:w="110"/>
            </w:tcMar>
          </w:tcPr>
          <w:p>
            <w:r>
              <w:rPr>
                <w:rFonts w:ascii="Calibri" w:cs="Calibri" w:eastAsia="Calibri" w:hAnsi="Calibri"/>
                <w:b w:val="false"/>
                <w:bCs w:val="false"/>
                <w:sz w:val="19"/>
                <w:szCs w:val="19"/>
              </w:rPr>
              <w:t xml:space="preserve">0.474</w:t>
            </w:r>
          </w:p>
        </w:tc>
        <w:tc>
          <w:tcPr>
            <w:tcW w:type="dxa" w:w="1600"/>
            <w:tcMar>
              <w:top w:type="dxa" w:w="70"/>
              <w:left w:type="dxa" w:w="110"/>
              <w:bottom w:type="dxa" w:w="70"/>
              <w:right w:type="dxa" w:w="110"/>
            </w:tcMar>
          </w:tcPr>
          <w:p>
            <w:r>
              <w:rPr>
                <w:rFonts w:ascii="Calibri" w:cs="Calibri" w:eastAsia="Calibri" w:hAnsi="Calibri"/>
                <w:b w:val="false"/>
                <w:bCs w:val="false"/>
                <w:sz w:val="19"/>
                <w:szCs w:val="19"/>
              </w:rPr>
              <w:t xml:space="preserve">0.599</w:t>
            </w:r>
          </w:p>
        </w:tc>
      </w:tr>
      <w:tr>
        <w:tc>
          <w:tcPr>
            <w:tcW w:type="dxa" w:w="3500"/>
            <w:tcMar>
              <w:top w:type="dxa" w:w="70"/>
              <w:left w:type="dxa" w:w="110"/>
              <w:bottom w:type="dxa" w:w="70"/>
              <w:right w:type="dxa" w:w="110"/>
            </w:tcMar>
          </w:tcPr>
          <w:p>
            <w:r>
              <w:rPr>
                <w:rFonts w:ascii="Calibri" w:cs="Calibri" w:eastAsia="Calibri" w:hAnsi="Calibri"/>
                <w:b w:val="false"/>
                <w:bCs w:val="false"/>
                <w:sz w:val="19"/>
                <w:szCs w:val="19"/>
              </w:rPr>
              <w:t xml:space="preserve">B. all three routes  ← active</w:t>
            </w:r>
          </w:p>
        </w:tc>
        <w:tc>
          <w:tcPr>
            <w:tcW w:type="dxa" w:w="1200"/>
            <w:tcMar>
              <w:top w:type="dxa" w:w="70"/>
              <w:left w:type="dxa" w:w="110"/>
              <w:bottom w:type="dxa" w:w="70"/>
              <w:right w:type="dxa" w:w="110"/>
            </w:tcMar>
          </w:tcPr>
          <w:p>
            <w:r>
              <w:rPr>
                <w:rFonts w:ascii="Calibri" w:cs="Calibri" w:eastAsia="Calibri" w:hAnsi="Calibri"/>
                <w:b w:val="false"/>
                <w:bCs w:val="false"/>
                <w:sz w:val="19"/>
                <w:szCs w:val="19"/>
              </w:rPr>
              <w:t xml:space="preserve">0.370</w:t>
            </w:r>
          </w:p>
        </w:tc>
        <w:tc>
          <w:tcPr>
            <w:tcW w:type="dxa" w:w="1200"/>
            <w:tcMar>
              <w:top w:type="dxa" w:w="70"/>
              <w:left w:type="dxa" w:w="110"/>
              <w:bottom w:type="dxa" w:w="70"/>
              <w:right w:type="dxa" w:w="110"/>
            </w:tcMar>
          </w:tcPr>
          <w:p>
            <w:r>
              <w:rPr>
                <w:rFonts w:ascii="Calibri" w:cs="Calibri" w:eastAsia="Calibri" w:hAnsi="Calibri"/>
                <w:b w:val="false"/>
                <w:bCs w:val="false"/>
                <w:sz w:val="19"/>
                <w:szCs w:val="19"/>
              </w:rPr>
              <w:t xml:space="preserve">0.392</w:t>
            </w:r>
          </w:p>
        </w:tc>
        <w:tc>
          <w:tcPr>
            <w:tcW w:type="dxa" w:w="1050"/>
            <w:tcMar>
              <w:top w:type="dxa" w:w="70"/>
              <w:left w:type="dxa" w:w="110"/>
              <w:bottom w:type="dxa" w:w="70"/>
              <w:right w:type="dxa" w:w="110"/>
            </w:tcMar>
          </w:tcPr>
          <w:p>
            <w:r>
              <w:rPr>
                <w:rFonts w:ascii="Calibri" w:cs="Calibri" w:eastAsia="Calibri" w:hAnsi="Calibri"/>
                <w:b w:val="false"/>
                <w:bCs w:val="false"/>
                <w:sz w:val="19"/>
                <w:szCs w:val="19"/>
              </w:rPr>
              <w:t xml:space="preserve">0.321</w:t>
            </w:r>
          </w:p>
        </w:tc>
        <w:tc>
          <w:tcPr>
            <w:tcW w:type="dxa" w:w="1150"/>
            <w:tcMar>
              <w:top w:type="dxa" w:w="70"/>
              <w:left w:type="dxa" w:w="110"/>
              <w:bottom w:type="dxa" w:w="70"/>
              <w:right w:type="dxa" w:w="110"/>
            </w:tcMar>
          </w:tcPr>
          <w:p>
            <w:r>
              <w:rPr>
                <w:rFonts w:ascii="Calibri" w:cs="Calibri" w:eastAsia="Calibri" w:hAnsi="Calibri"/>
                <w:b w:val="false"/>
                <w:bCs w:val="false"/>
                <w:sz w:val="19"/>
                <w:szCs w:val="19"/>
              </w:rPr>
              <w:t xml:space="preserve">0.502</w:t>
            </w:r>
          </w:p>
        </w:tc>
        <w:tc>
          <w:tcPr>
            <w:tcW w:type="dxa" w:w="1600"/>
            <w:tcMar>
              <w:top w:type="dxa" w:w="70"/>
              <w:left w:type="dxa" w:w="110"/>
              <w:bottom w:type="dxa" w:w="70"/>
              <w:right w:type="dxa" w:w="110"/>
            </w:tcMar>
          </w:tcPr>
          <w:p>
            <w:r>
              <w:rPr>
                <w:rFonts w:ascii="Calibri" w:cs="Calibri" w:eastAsia="Calibri" w:hAnsi="Calibri"/>
                <w:b w:val="false"/>
                <w:bCs w:val="false"/>
                <w:sz w:val="19"/>
                <w:szCs w:val="19"/>
              </w:rPr>
              <w:t xml:space="preserve">0.652</w:t>
            </w:r>
          </w:p>
        </w:tc>
      </w:tr>
      <w:tr>
        <w:tc>
          <w:tcPr>
            <w:tcW w:type="dxa" w:w="3500"/>
            <w:tcMar>
              <w:top w:type="dxa" w:w="70"/>
              <w:left w:type="dxa" w:w="110"/>
              <w:bottom w:type="dxa" w:w="70"/>
              <w:right w:type="dxa" w:w="110"/>
            </w:tcMar>
          </w:tcPr>
          <w:p>
            <w:r>
              <w:rPr>
                <w:rFonts w:ascii="Calibri" w:cs="Calibri" w:eastAsia="Calibri" w:hAnsi="Calibri"/>
                <w:b w:val="false"/>
                <w:bCs w:val="false"/>
                <w:sz w:val="19"/>
                <w:szCs w:val="19"/>
              </w:rPr>
              <w:t xml:space="preserve">C. history only</w:t>
            </w:r>
          </w:p>
        </w:tc>
        <w:tc>
          <w:tcPr>
            <w:tcW w:type="dxa" w:w="1200"/>
            <w:tcMar>
              <w:top w:type="dxa" w:w="70"/>
              <w:left w:type="dxa" w:w="110"/>
              <w:bottom w:type="dxa" w:w="70"/>
              <w:right w:type="dxa" w:w="110"/>
            </w:tcMar>
          </w:tcPr>
          <w:p>
            <w:r>
              <w:rPr>
                <w:rFonts w:ascii="Calibri" w:cs="Calibri" w:eastAsia="Calibri" w:hAnsi="Calibri"/>
                <w:b w:val="false"/>
                <w:bCs w:val="false"/>
                <w:sz w:val="19"/>
                <w:szCs w:val="19"/>
              </w:rPr>
              <w:t xml:space="preserve">0.379</w:t>
            </w:r>
          </w:p>
        </w:tc>
        <w:tc>
          <w:tcPr>
            <w:tcW w:type="dxa" w:w="1200"/>
            <w:tcMar>
              <w:top w:type="dxa" w:w="70"/>
              <w:left w:type="dxa" w:w="110"/>
              <w:bottom w:type="dxa" w:w="70"/>
              <w:right w:type="dxa" w:w="110"/>
            </w:tcMar>
          </w:tcPr>
          <w:p>
            <w:r>
              <w:rPr>
                <w:rFonts w:ascii="Calibri" w:cs="Calibri" w:eastAsia="Calibri" w:hAnsi="Calibri"/>
                <w:b w:val="false"/>
                <w:bCs w:val="false"/>
                <w:sz w:val="19"/>
                <w:szCs w:val="19"/>
              </w:rPr>
              <w:t xml:space="preserve">0.396</w:t>
            </w:r>
          </w:p>
        </w:tc>
        <w:tc>
          <w:tcPr>
            <w:tcW w:type="dxa" w:w="1050"/>
            <w:tcMar>
              <w:top w:type="dxa" w:w="70"/>
              <w:left w:type="dxa" w:w="110"/>
              <w:bottom w:type="dxa" w:w="70"/>
              <w:right w:type="dxa" w:w="110"/>
            </w:tcMar>
          </w:tcPr>
          <w:p>
            <w:r>
              <w:rPr>
                <w:rFonts w:ascii="Calibri" w:cs="Calibri" w:eastAsia="Calibri" w:hAnsi="Calibri"/>
                <w:b w:val="false"/>
                <w:bCs w:val="false"/>
                <w:sz w:val="19"/>
                <w:szCs w:val="19"/>
              </w:rPr>
              <w:t xml:space="preserve">0.354</w:t>
            </w:r>
          </w:p>
        </w:tc>
        <w:tc>
          <w:tcPr>
            <w:tcW w:type="dxa" w:w="1150"/>
            <w:tcMar>
              <w:top w:type="dxa" w:w="70"/>
              <w:left w:type="dxa" w:w="110"/>
              <w:bottom w:type="dxa" w:w="70"/>
              <w:right w:type="dxa" w:w="110"/>
            </w:tcMar>
          </w:tcPr>
          <w:p>
            <w:r>
              <w:rPr>
                <w:rFonts w:ascii="Calibri" w:cs="Calibri" w:eastAsia="Calibri" w:hAnsi="Calibri"/>
                <w:b w:val="false"/>
                <w:bCs w:val="false"/>
                <w:sz w:val="19"/>
                <w:szCs w:val="19"/>
              </w:rPr>
              <w:t xml:space="preserve">0.449</w:t>
            </w:r>
          </w:p>
        </w:tc>
        <w:tc>
          <w:tcPr>
            <w:tcW w:type="dxa" w:w="1600"/>
            <w:tcMar>
              <w:top w:type="dxa" w:w="70"/>
              <w:left w:type="dxa" w:w="110"/>
              <w:bottom w:type="dxa" w:w="70"/>
              <w:right w:type="dxa" w:w="110"/>
            </w:tcMar>
          </w:tcPr>
          <w:p>
            <w:r>
              <w:rPr>
                <w:rFonts w:ascii="Calibri" w:cs="Calibri" w:eastAsia="Calibri" w:hAnsi="Calibri"/>
                <w:b w:val="false"/>
                <w:bCs w:val="false"/>
                <w:sz w:val="19"/>
                <w:szCs w:val="19"/>
              </w:rPr>
              <w:t xml:space="preserve">0.583</w:t>
            </w:r>
          </w:p>
        </w:tc>
      </w:tr>
      <w:tr>
        <w:tc>
          <w:tcPr>
            <w:tcW w:type="dxa" w:w="3500"/>
            <w:tcMar>
              <w:top w:type="dxa" w:w="70"/>
              <w:left w:type="dxa" w:w="110"/>
              <w:bottom w:type="dxa" w:w="70"/>
              <w:right w:type="dxa" w:w="110"/>
            </w:tcMar>
          </w:tcPr>
          <w:p>
            <w:r>
              <w:rPr>
                <w:rFonts w:ascii="Calibri" w:cs="Calibri" w:eastAsia="Calibri" w:hAnsi="Calibri"/>
                <w:b w:val="false"/>
                <w:bCs w:val="false"/>
                <w:sz w:val="19"/>
                <w:szCs w:val="19"/>
              </w:rPr>
              <w:t xml:space="preserve">D. everything, no thresholds</w:t>
            </w:r>
          </w:p>
        </w:tc>
        <w:tc>
          <w:tcPr>
            <w:tcW w:type="dxa" w:w="1200"/>
            <w:tcMar>
              <w:top w:type="dxa" w:w="70"/>
              <w:left w:type="dxa" w:w="110"/>
              <w:bottom w:type="dxa" w:w="70"/>
              <w:right w:type="dxa" w:w="110"/>
            </w:tcMar>
          </w:tcPr>
          <w:p>
            <w:r>
              <w:rPr>
                <w:rFonts w:ascii="Calibri" w:cs="Calibri" w:eastAsia="Calibri" w:hAnsi="Calibri"/>
                <w:b w:val="false"/>
                <w:bCs w:val="false"/>
                <w:sz w:val="19"/>
                <w:szCs w:val="19"/>
              </w:rPr>
              <w:t xml:space="preserve">0.355</w:t>
            </w:r>
          </w:p>
        </w:tc>
        <w:tc>
          <w:tcPr>
            <w:tcW w:type="dxa" w:w="1200"/>
            <w:tcMar>
              <w:top w:type="dxa" w:w="70"/>
              <w:left w:type="dxa" w:w="110"/>
              <w:bottom w:type="dxa" w:w="70"/>
              <w:right w:type="dxa" w:w="110"/>
            </w:tcMar>
          </w:tcPr>
          <w:p>
            <w:r>
              <w:rPr>
                <w:rFonts w:ascii="Calibri" w:cs="Calibri" w:eastAsia="Calibri" w:hAnsi="Calibri"/>
                <w:b w:val="false"/>
                <w:bCs w:val="false"/>
                <w:sz w:val="19"/>
                <w:szCs w:val="19"/>
              </w:rPr>
              <w:t xml:space="preserve">0.367</w:t>
            </w:r>
          </w:p>
        </w:tc>
        <w:tc>
          <w:tcPr>
            <w:tcW w:type="dxa" w:w="1050"/>
            <w:tcMar>
              <w:top w:type="dxa" w:w="70"/>
              <w:left w:type="dxa" w:w="110"/>
              <w:bottom w:type="dxa" w:w="70"/>
              <w:right w:type="dxa" w:w="110"/>
            </w:tcMar>
          </w:tcPr>
          <w:p>
            <w:r>
              <w:rPr>
                <w:rFonts w:ascii="Calibri" w:cs="Calibri" w:eastAsia="Calibri" w:hAnsi="Calibri"/>
                <w:b w:val="false"/>
                <w:bCs w:val="false"/>
                <w:sz w:val="19"/>
                <w:szCs w:val="19"/>
              </w:rPr>
              <w:t xml:space="preserve">0.279</w:t>
            </w:r>
          </w:p>
        </w:tc>
        <w:tc>
          <w:tcPr>
            <w:tcW w:type="dxa" w:w="1150"/>
            <w:tcMar>
              <w:top w:type="dxa" w:w="70"/>
              <w:left w:type="dxa" w:w="110"/>
              <w:bottom w:type="dxa" w:w="70"/>
              <w:right w:type="dxa" w:w="110"/>
            </w:tcMar>
          </w:tcPr>
          <w:p>
            <w:r>
              <w:rPr>
                <w:rFonts w:ascii="Calibri" w:cs="Calibri" w:eastAsia="Calibri" w:hAnsi="Calibri"/>
                <w:b w:val="false"/>
                <w:bCs w:val="false"/>
                <w:sz w:val="19"/>
                <w:szCs w:val="19"/>
              </w:rPr>
              <w:t xml:space="preserve">0.534</w:t>
            </w:r>
          </w:p>
        </w:tc>
        <w:tc>
          <w:tcPr>
            <w:tcW w:type="dxa" w:w="1600"/>
            <w:tcMar>
              <w:top w:type="dxa" w:w="70"/>
              <w:left w:type="dxa" w:w="110"/>
              <w:bottom w:type="dxa" w:w="70"/>
              <w:right w:type="dxa" w:w="110"/>
            </w:tcMar>
          </w:tcPr>
          <w:p>
            <w:r>
              <w:rPr>
                <w:rFonts w:ascii="Calibri" w:cs="Calibri" w:eastAsia="Calibri" w:hAnsi="Calibri"/>
                <w:b w:val="false"/>
                <w:bCs w:val="false"/>
                <w:sz w:val="19"/>
                <w:szCs w:val="19"/>
              </w:rPr>
              <w:t xml:space="preserve">0.688</w:t>
            </w:r>
          </w:p>
        </w:tc>
      </w:tr>
    </w:tbl>
    <w:p>
      <w:pPr>
        <w:spacing w:after="150"/>
      </w:pPr>
      <w:r>
        <w:rPr>
          <w:rFonts w:ascii="Calibri" w:cs="Calibri" w:eastAsia="Calibri" w:hAnsi="Calibri"/>
          <w:sz w:val="22"/>
          <w:szCs w:val="22"/>
        </w:rPr>
        <w:t xml:space="preserve">Configuration </w:t>
      </w:r>
      <w:r>
        <w:rPr>
          <w:rFonts w:ascii="Calibri" w:cs="Calibri" w:eastAsia="Calibri" w:hAnsi="Calibri"/>
          <w:b/>
          <w:bCs/>
          <w:sz w:val="22"/>
          <w:szCs w:val="22"/>
        </w:rPr>
        <w:t xml:space="preserve">B is active</w:t>
      </w:r>
      <w:r>
        <w:rPr>
          <w:rFonts w:ascii="Calibri" w:cs="Calibri" w:eastAsia="Calibri" w:hAnsi="Calibri"/>
          <w:sz w:val="22"/>
          <w:szCs w:val="22"/>
        </w:rPr>
        <w:t xml:space="preserve"> by choice, not because it maximises F1. The pipeline's output is a ranked candidate list for a human coder to review, and in that setting a near-miss shown is useful while a dropped candidate is not. B costs 0.019 macro F1 against A but returns 2.8 points of recall and 5.3 points of category recall.</w:t>
      </w:r>
    </w:p>
    <w:p>
      <w:pPr>
        <w:pStyle w:val="Heading2"/>
        <w:spacing w:after="110" w:before="260"/>
      </w:pPr>
      <w:r>
        <w:t xml:space="preserve">Route coverage for review</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1800"/>
      </w:tblGrid>
      <w:tr>
        <w:tc>
          <w:tcPr>
            <w:tcW w:type="dxa" w:w="3000"/>
            <w:shd w:fill="D9E2F3" w:val="clear"/>
            <w:tcMar>
              <w:top w:type="dxa" w:w="70"/>
              <w:left w:type="dxa" w:w="110"/>
              <w:bottom w:type="dxa" w:w="70"/>
              <w:right w:type="dxa" w:w="110"/>
            </w:tcMar>
          </w:tcPr>
          <w:p>
            <w:r>
              <w:rPr>
                <w:rFonts w:ascii="Calibri" w:cs="Calibri" w:eastAsia="Calibri" w:hAnsi="Calibri"/>
                <w:b/>
                <w:bCs/>
                <w:sz w:val="20"/>
                <w:szCs w:val="20"/>
              </w:rPr>
              <w:t xml:space="preserve">Route</w:t>
            </w:r>
          </w:p>
        </w:tc>
        <w:tc>
          <w:tcPr>
            <w:tcW w:type="dxa" w:w="4000"/>
            <w:shd w:fill="D9E2F3" w:val="clear"/>
            <w:tcMar>
              <w:top w:type="dxa" w:w="70"/>
              <w:left w:type="dxa" w:w="110"/>
              <w:bottom w:type="dxa" w:w="70"/>
              <w:right w:type="dxa" w:w="110"/>
            </w:tcMar>
          </w:tcPr>
          <w:p>
            <w:r>
              <w:rPr>
                <w:rFonts w:ascii="Calibri" w:cs="Calibri" w:eastAsia="Calibri" w:hAnsi="Calibri"/>
                <w:b/>
                <w:bCs/>
                <w:sz w:val="20"/>
                <w:szCs w:val="20"/>
              </w:rPr>
              <w:t xml:space="preserve">Admissions with a correct code in top 5</w:t>
            </w:r>
          </w:p>
        </w:tc>
        <w:tc>
          <w:tcPr>
            <w:tcW w:type="dxa" w:w="1800"/>
            <w:shd w:fill="D9E2F3" w:val="clear"/>
            <w:tcMar>
              <w:top w:type="dxa" w:w="70"/>
              <w:left w:type="dxa" w:w="110"/>
              <w:bottom w:type="dxa" w:w="70"/>
              <w:right w:type="dxa" w:w="110"/>
            </w:tcMar>
          </w:tcPr>
          <w:p>
            <w:r>
              <w:rPr>
                <w:rFonts w:ascii="Calibri" w:cs="Calibri" w:eastAsia="Calibri" w:hAnsi="Calibri"/>
                <w:b/>
                <w:bCs/>
                <w:sz w:val="20"/>
                <w:szCs w:val="20"/>
              </w:rPr>
              <w:t xml:space="preserve">Precision@5</w:t>
            </w:r>
          </w:p>
        </w:tc>
      </w:tr>
      <w:tr>
        <w:tc>
          <w:tcPr>
            <w:tcW w:type="dxa" w:w="3000"/>
            <w:tcMar>
              <w:top w:type="dxa" w:w="70"/>
              <w:left w:type="dxa" w:w="110"/>
              <w:bottom w:type="dxa" w:w="70"/>
              <w:right w:type="dxa" w:w="110"/>
            </w:tcMar>
          </w:tcPr>
          <w:p>
            <w:r>
              <w:rPr>
                <w:rFonts w:ascii="Calibri" w:cs="Calibri" w:eastAsia="Calibri" w:hAnsi="Calibri"/>
                <w:b w:val="false"/>
                <w:bCs w:val="false"/>
                <w:sz w:val="19"/>
                <w:szCs w:val="19"/>
              </w:rPr>
              <w:t xml:space="preserve">history</w:t>
            </w:r>
          </w:p>
        </w:tc>
        <w:tc>
          <w:tcPr>
            <w:tcW w:type="dxa" w:w="4000"/>
            <w:tcMar>
              <w:top w:type="dxa" w:w="70"/>
              <w:left w:type="dxa" w:w="110"/>
              <w:bottom w:type="dxa" w:w="70"/>
              <w:right w:type="dxa" w:w="110"/>
            </w:tcMar>
          </w:tcPr>
          <w:p>
            <w:r>
              <w:rPr>
                <w:rFonts w:ascii="Calibri" w:cs="Calibri" w:eastAsia="Calibri" w:hAnsi="Calibri"/>
                <w:b w:val="false"/>
                <w:bCs w:val="false"/>
                <w:sz w:val="19"/>
                <w:szCs w:val="19"/>
              </w:rPr>
              <w:t xml:space="preserve">14 / 15</w:t>
            </w:r>
          </w:p>
        </w:tc>
        <w:tc>
          <w:tcPr>
            <w:tcW w:type="dxa" w:w="1800"/>
            <w:tcMar>
              <w:top w:type="dxa" w:w="70"/>
              <w:left w:type="dxa" w:w="110"/>
              <w:bottom w:type="dxa" w:w="70"/>
              <w:right w:type="dxa" w:w="110"/>
            </w:tcMar>
          </w:tcPr>
          <w:p>
            <w:r>
              <w:rPr>
                <w:rFonts w:ascii="Calibri" w:cs="Calibri" w:eastAsia="Calibri" w:hAnsi="Calibri"/>
                <w:b w:val="false"/>
                <w:bCs w:val="false"/>
                <w:sz w:val="19"/>
                <w:szCs w:val="19"/>
              </w:rPr>
              <w:t xml:space="preserve">49%</w:t>
            </w:r>
          </w:p>
        </w:tc>
      </w:tr>
      <w:tr>
        <w:tc>
          <w:tcPr>
            <w:tcW w:type="dxa" w:w="3000"/>
            <w:tcMar>
              <w:top w:type="dxa" w:w="70"/>
              <w:left w:type="dxa" w:w="110"/>
              <w:bottom w:type="dxa" w:w="70"/>
              <w:right w:type="dxa" w:w="110"/>
            </w:tcMar>
          </w:tcPr>
          <w:p>
            <w:r>
              <w:rPr>
                <w:rFonts w:ascii="Calibri" w:cs="Calibri" w:eastAsia="Calibri" w:hAnsi="Calibri"/>
                <w:b w:val="false"/>
                <w:bCs w:val="false"/>
                <w:sz w:val="19"/>
                <w:szCs w:val="19"/>
              </w:rPr>
              <w:t xml:space="preserve">labs/vitals</w:t>
            </w:r>
          </w:p>
        </w:tc>
        <w:tc>
          <w:tcPr>
            <w:tcW w:type="dxa" w:w="4000"/>
            <w:tcMar>
              <w:top w:type="dxa" w:w="70"/>
              <w:left w:type="dxa" w:w="110"/>
              <w:bottom w:type="dxa" w:w="70"/>
              <w:right w:type="dxa" w:w="110"/>
            </w:tcMar>
          </w:tcPr>
          <w:p>
            <w:r>
              <w:rPr>
                <w:rFonts w:ascii="Calibri" w:cs="Calibri" w:eastAsia="Calibri" w:hAnsi="Calibri"/>
                <w:b w:val="false"/>
                <w:bCs w:val="false"/>
                <w:sz w:val="19"/>
                <w:szCs w:val="19"/>
              </w:rPr>
              <w:t xml:space="preserve">9 / 15</w:t>
            </w:r>
          </w:p>
        </w:tc>
        <w:tc>
          <w:tcPr>
            <w:tcW w:type="dxa" w:w="1800"/>
            <w:tcMar>
              <w:top w:type="dxa" w:w="70"/>
              <w:left w:type="dxa" w:w="110"/>
              <w:bottom w:type="dxa" w:w="70"/>
              <w:right w:type="dxa" w:w="110"/>
            </w:tcMar>
          </w:tcPr>
          <w:p>
            <w:r>
              <w:rPr>
                <w:rFonts w:ascii="Calibri" w:cs="Calibri" w:eastAsia="Calibri" w:hAnsi="Calibri"/>
                <w:b w:val="false"/>
                <w:bCs w:val="false"/>
                <w:sz w:val="19"/>
                <w:szCs w:val="19"/>
              </w:rPr>
              <w:t xml:space="preserve">48%</w:t>
            </w:r>
          </w:p>
        </w:tc>
      </w:tr>
      <w:tr>
        <w:tc>
          <w:tcPr>
            <w:tcW w:type="dxa" w:w="3000"/>
            <w:tcMar>
              <w:top w:type="dxa" w:w="70"/>
              <w:left w:type="dxa" w:w="110"/>
              <w:bottom w:type="dxa" w:w="70"/>
              <w:right w:type="dxa" w:w="110"/>
            </w:tcMar>
          </w:tcPr>
          <w:p>
            <w:r>
              <w:rPr>
                <w:rFonts w:ascii="Calibri" w:cs="Calibri" w:eastAsia="Calibri" w:hAnsi="Calibri"/>
                <w:b w:val="false"/>
                <w:bCs w:val="false"/>
                <w:sz w:val="19"/>
                <w:szCs w:val="19"/>
              </w:rPr>
              <w:t xml:space="preserve">ontology chain</w:t>
            </w:r>
          </w:p>
        </w:tc>
        <w:tc>
          <w:tcPr>
            <w:tcW w:type="dxa" w:w="4000"/>
            <w:tcMar>
              <w:top w:type="dxa" w:w="70"/>
              <w:left w:type="dxa" w:w="110"/>
              <w:bottom w:type="dxa" w:w="70"/>
              <w:right w:type="dxa" w:w="110"/>
            </w:tcMar>
          </w:tcPr>
          <w:p>
            <w:r>
              <w:rPr>
                <w:rFonts w:ascii="Calibri" w:cs="Calibri" w:eastAsia="Calibri" w:hAnsi="Calibri"/>
                <w:b w:val="false"/>
                <w:bCs w:val="false"/>
                <w:sz w:val="19"/>
                <w:szCs w:val="19"/>
              </w:rPr>
              <w:t xml:space="preserve">4 / 15</w:t>
            </w:r>
          </w:p>
        </w:tc>
        <w:tc>
          <w:tcPr>
            <w:tcW w:type="dxa" w:w="1800"/>
            <w:tcMar>
              <w:top w:type="dxa" w:w="70"/>
              <w:left w:type="dxa" w:w="110"/>
              <w:bottom w:type="dxa" w:w="70"/>
              <w:right w:type="dxa" w:w="110"/>
            </w:tcMar>
          </w:tcPr>
          <w:p>
            <w:r>
              <w:rPr>
                <w:rFonts w:ascii="Calibri" w:cs="Calibri" w:eastAsia="Calibri" w:hAnsi="Calibri"/>
                <w:b w:val="false"/>
                <w:bCs w:val="false"/>
                <w:sz w:val="19"/>
                <w:szCs w:val="19"/>
              </w:rPr>
              <w:t xml:space="preserve">16%</w:t>
            </w:r>
          </w:p>
        </w:tc>
      </w:tr>
    </w:tbl>
    <w:p>
      <w:pPr>
        <w:spacing w:after="150"/>
      </w:pPr>
      <w:r>
        <w:rPr>
          <w:rFonts w:ascii="Calibri" w:cs="Calibri" w:eastAsia="Calibri" w:hAnsi="Calibri"/>
          <w:sz w:val="22"/>
          <w:szCs w:val="22"/>
        </w:rPr>
        <w:t xml:space="preserve">The ontology route contributes unevenly — strong on some admissions, absent on most. On patient 17774110 its top five contained three correct codes that history's top five missed (liver cell carcinoma, disseminated intravascular coagulation, atrial fibrillation), which is precisely the complementary value the design intended, just not reliably across the cohort.</w:t>
      </w:r>
    </w:p>
    <w:p>
      <w:pPr>
        <w:pStyle w:val="Heading2"/>
        <w:spacing w:after="110" w:before="260"/>
      </w:pPr>
      <w:r>
        <w:t xml:space="preserve">Agreement between routes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000"/>
      </w:tblGrid>
      <w:tr>
        <w:tc>
          <w:tcPr>
            <w:tcW w:type="dxa" w:w="3600"/>
            <w:shd w:fill="D9E2F3" w:val="clear"/>
            <w:tcMar>
              <w:top w:type="dxa" w:w="70"/>
              <w:left w:type="dxa" w:w="110"/>
              <w:bottom w:type="dxa" w:w="70"/>
              <w:right w:type="dxa" w:w="110"/>
            </w:tcMar>
          </w:tcPr>
          <w:p>
            <w:r>
              <w:rPr>
                <w:rFonts w:ascii="Calibri" w:cs="Calibri" w:eastAsia="Calibri" w:hAnsi="Calibri"/>
                <w:b/>
                <w:bCs/>
                <w:sz w:val="20"/>
                <w:szCs w:val="20"/>
              </w:rPr>
              <w:t xml:space="preserve">Codes vouched for by</w:t>
            </w:r>
          </w:p>
        </w:tc>
        <w:tc>
          <w:tcPr>
            <w:tcW w:type="dxa" w:w="2200"/>
            <w:shd w:fill="D9E2F3" w:val="clear"/>
            <w:tcMar>
              <w:top w:type="dxa" w:w="70"/>
              <w:left w:type="dxa" w:w="110"/>
              <w:bottom w:type="dxa" w:w="70"/>
              <w:right w:type="dxa" w:w="110"/>
            </w:tcMar>
          </w:tcPr>
          <w:p>
            <w:r>
              <w:rPr>
                <w:rFonts w:ascii="Calibri" w:cs="Calibri" w:eastAsia="Calibri" w:hAnsi="Calibri"/>
                <w:b/>
                <w:bCs/>
                <w:sz w:val="20"/>
                <w:szCs w:val="20"/>
              </w:rPr>
              <w:t xml:space="preserve">Correct</w:t>
            </w:r>
          </w:p>
        </w:tc>
        <w:tc>
          <w:tcPr>
            <w:tcW w:type="dxa" w:w="2000"/>
            <w:shd w:fill="D9E2F3" w:val="clear"/>
            <w:tcMar>
              <w:top w:type="dxa" w:w="70"/>
              <w:left w:type="dxa" w:w="110"/>
              <w:bottom w:type="dxa" w:w="70"/>
              <w:right w:type="dxa" w:w="110"/>
            </w:tcMar>
          </w:tcPr>
          <w:p>
            <w:r>
              <w:rPr>
                <w:rFonts w:ascii="Calibri" w:cs="Calibri" w:eastAsia="Calibri" w:hAnsi="Calibri"/>
                <w:b/>
                <w:bCs/>
                <w:sz w:val="20"/>
                <w:szCs w:val="20"/>
              </w:rPr>
              <w:t xml:space="preserve">Precision</w:t>
            </w:r>
          </w:p>
        </w:tc>
      </w:tr>
      <w:tr>
        <w:tc>
          <w:tcPr>
            <w:tcW w:type="dxa" w:w="3600"/>
            <w:tcMar>
              <w:top w:type="dxa" w:w="70"/>
              <w:left w:type="dxa" w:w="110"/>
              <w:bottom w:type="dxa" w:w="70"/>
              <w:right w:type="dxa" w:w="110"/>
            </w:tcMar>
          </w:tcPr>
          <w:p>
            <w:r>
              <w:rPr>
                <w:rFonts w:ascii="Calibri" w:cs="Calibri" w:eastAsia="Calibri" w:hAnsi="Calibri"/>
                <w:b w:val="false"/>
                <w:bCs w:val="false"/>
                <w:sz w:val="19"/>
                <w:szCs w:val="19"/>
              </w:rPr>
              <w:t xml:space="preserve">history + labs (both)</w:t>
            </w:r>
          </w:p>
        </w:tc>
        <w:tc>
          <w:tcPr>
            <w:tcW w:type="dxa" w:w="2200"/>
            <w:tcMar>
              <w:top w:type="dxa" w:w="70"/>
              <w:left w:type="dxa" w:w="110"/>
              <w:bottom w:type="dxa" w:w="70"/>
              <w:right w:type="dxa" w:w="110"/>
            </w:tcMar>
          </w:tcPr>
          <w:p>
            <w:r>
              <w:rPr>
                <w:rFonts w:ascii="Calibri" w:cs="Calibri" w:eastAsia="Calibri" w:hAnsi="Calibri"/>
                <w:b w:val="false"/>
                <w:bCs w:val="false"/>
                <w:sz w:val="19"/>
                <w:szCs w:val="19"/>
              </w:rPr>
              <w:t xml:space="preserve">8 / 12</w:t>
            </w:r>
          </w:p>
        </w:tc>
        <w:tc>
          <w:tcPr>
            <w:tcW w:type="dxa" w:w="2000"/>
            <w:tcMar>
              <w:top w:type="dxa" w:w="70"/>
              <w:left w:type="dxa" w:w="110"/>
              <w:bottom w:type="dxa" w:w="70"/>
              <w:right w:type="dxa" w:w="110"/>
            </w:tcMar>
          </w:tcPr>
          <w:p>
            <w:r>
              <w:rPr>
                <w:rFonts w:ascii="Calibri" w:cs="Calibri" w:eastAsia="Calibri" w:hAnsi="Calibri"/>
                <w:b w:val="false"/>
                <w:bCs w:val="false"/>
                <w:sz w:val="19"/>
                <w:szCs w:val="19"/>
              </w:rPr>
              <w:t xml:space="preserve">67%</w:t>
            </w:r>
          </w:p>
        </w:tc>
      </w:tr>
      <w:tr>
        <w:tc>
          <w:tcPr>
            <w:tcW w:type="dxa" w:w="3600"/>
            <w:tcMar>
              <w:top w:type="dxa" w:w="70"/>
              <w:left w:type="dxa" w:w="110"/>
              <w:bottom w:type="dxa" w:w="70"/>
              <w:right w:type="dxa" w:w="110"/>
            </w:tcMar>
          </w:tcPr>
          <w:p>
            <w:r>
              <w:rPr>
                <w:rFonts w:ascii="Calibri" w:cs="Calibri" w:eastAsia="Calibri" w:hAnsi="Calibri"/>
                <w:b w:val="false"/>
                <w:bCs w:val="false"/>
                <w:sz w:val="19"/>
                <w:szCs w:val="19"/>
              </w:rPr>
              <w:t xml:space="preserve">history alone</w:t>
            </w:r>
          </w:p>
        </w:tc>
        <w:tc>
          <w:tcPr>
            <w:tcW w:type="dxa" w:w="2200"/>
            <w:tcMar>
              <w:top w:type="dxa" w:w="70"/>
              <w:left w:type="dxa" w:w="110"/>
              <w:bottom w:type="dxa" w:w="70"/>
              <w:right w:type="dxa" w:w="110"/>
            </w:tcMar>
          </w:tcPr>
          <w:p>
            <w:r>
              <w:rPr>
                <w:rFonts w:ascii="Calibri" w:cs="Calibri" w:eastAsia="Calibri" w:hAnsi="Calibri"/>
                <w:b w:val="false"/>
                <w:bCs w:val="false"/>
                <w:sz w:val="19"/>
                <w:szCs w:val="19"/>
              </w:rPr>
              <w:t xml:space="preserve">101 / 295</w:t>
            </w:r>
          </w:p>
        </w:tc>
        <w:tc>
          <w:tcPr>
            <w:tcW w:type="dxa" w:w="2000"/>
            <w:tcMar>
              <w:top w:type="dxa" w:w="70"/>
              <w:left w:type="dxa" w:w="110"/>
              <w:bottom w:type="dxa" w:w="70"/>
              <w:right w:type="dxa" w:w="110"/>
            </w:tcMar>
          </w:tcPr>
          <w:p>
            <w:r>
              <w:rPr>
                <w:rFonts w:ascii="Calibri" w:cs="Calibri" w:eastAsia="Calibri" w:hAnsi="Calibri"/>
                <w:b w:val="false"/>
                <w:bCs w:val="false"/>
                <w:sz w:val="19"/>
                <w:szCs w:val="19"/>
              </w:rPr>
              <w:t xml:space="preserve">34%</w:t>
            </w:r>
          </w:p>
        </w:tc>
      </w:tr>
      <w:tr>
        <w:tc>
          <w:tcPr>
            <w:tcW w:type="dxa" w:w="3600"/>
            <w:tcMar>
              <w:top w:type="dxa" w:w="70"/>
              <w:left w:type="dxa" w:w="110"/>
              <w:bottom w:type="dxa" w:w="70"/>
              <w:right w:type="dxa" w:w="110"/>
            </w:tcMar>
          </w:tcPr>
          <w:p>
            <w:r>
              <w:rPr>
                <w:rFonts w:ascii="Calibri" w:cs="Calibri" w:eastAsia="Calibri" w:hAnsi="Calibri"/>
                <w:b w:val="false"/>
                <w:bCs w:val="false"/>
                <w:sz w:val="19"/>
                <w:szCs w:val="19"/>
              </w:rPr>
              <w:t xml:space="preserve">labs alone</w:t>
            </w:r>
          </w:p>
        </w:tc>
        <w:tc>
          <w:tcPr>
            <w:tcW w:type="dxa" w:w="2200"/>
            <w:tcMar>
              <w:top w:type="dxa" w:w="70"/>
              <w:left w:type="dxa" w:w="110"/>
              <w:bottom w:type="dxa" w:w="70"/>
              <w:right w:type="dxa" w:w="110"/>
            </w:tcMar>
          </w:tcPr>
          <w:p>
            <w:r>
              <w:rPr>
                <w:rFonts w:ascii="Calibri" w:cs="Calibri" w:eastAsia="Calibri" w:hAnsi="Calibri"/>
                <w:b w:val="false"/>
                <w:bCs w:val="false"/>
                <w:sz w:val="19"/>
                <w:szCs w:val="19"/>
              </w:rPr>
              <w:t xml:space="preserve">5 / 15</w:t>
            </w:r>
          </w:p>
        </w:tc>
        <w:tc>
          <w:tcPr>
            <w:tcW w:type="dxa" w:w="2000"/>
            <w:tcMar>
              <w:top w:type="dxa" w:w="70"/>
              <w:left w:type="dxa" w:w="110"/>
              <w:bottom w:type="dxa" w:w="70"/>
              <w:right w:type="dxa" w:w="110"/>
            </w:tcMar>
          </w:tcPr>
          <w:p>
            <w:r>
              <w:rPr>
                <w:rFonts w:ascii="Calibri" w:cs="Calibri" w:eastAsia="Calibri" w:hAnsi="Calibri"/>
                <w:b w:val="false"/>
                <w:bCs w:val="false"/>
                <w:sz w:val="19"/>
                <w:szCs w:val="19"/>
              </w:rPr>
              <w:t xml:space="preserve">33%</w:t>
            </w:r>
          </w:p>
        </w:tc>
      </w:tr>
    </w:tbl>
    <w:p>
      <w:pPr>
        <w:spacing w:after="150"/>
      </w:pPr>
      <w:r>
        <w:rPr>
          <w:rFonts w:ascii="Calibri" w:cs="Calibri" w:eastAsia="Calibri" w:hAnsi="Calibri"/>
          <w:sz w:val="22"/>
          <w:szCs w:val="22"/>
        </w:rPr>
        <w:t xml:space="preserve">Codes confirmed by two independent routes are roughly twice as precise as either alone. This drives ranking so doubly-confirmed codes surface first.</w:t>
      </w:r>
    </w:p>
    <w:p>
      <w:pPr>
        <w:pStyle w:val="Heading1"/>
        <w:spacing w:after="160" w:before="340"/>
      </w:pPr>
      <w:r>
        <w:t xml:space="preserve">4. What we chose, and what we abandoned</w:t>
      </w:r>
    </w:p>
    <w:p>
      <w:pPr>
        <w:spacing w:after="150"/>
      </w:pPr>
      <w:r>
        <w:rPr>
          <w:rFonts w:ascii="Calibri" w:cs="Calibri" w:eastAsia="Calibri" w:hAnsi="Calibri"/>
          <w:sz w:val="22"/>
          <w:szCs w:val="22"/>
        </w:rPr>
        <w:t xml:space="preserve">Every design decision below was settled by measurement against ground truth rather than by argument. Five ideas were discarded before implementation and two after.</w:t>
      </w:r>
    </w:p>
    <w:p>
      <w:pPr>
        <w:pStyle w:val="Heading3"/>
        <w:spacing w:after="90" w:before="200"/>
      </w:pPr>
      <w:r>
        <w:t xml:space="preserve">Abandoned: exact-concept overlap between symptoms (Stage 6's original design)</w:t>
      </w:r>
    </w:p>
    <w:p>
      <w:pPr>
        <w:spacing w:after="150"/>
      </w:pPr>
      <w:r>
        <w:rPr>
          <w:rFonts w:ascii="Calibri" w:cs="Calibri" w:eastAsia="Calibri" w:hAnsi="Calibri"/>
          <w:sz w:val="22"/>
          <w:szCs w:val="22"/>
        </w:rPr>
        <w:t xml:space="preserve">The first design asked whether two symptoms' SNOMED neighbourhoods contained the same concept. Across 15 admissions it fired meaningfully in one, and the rest were either empty or degenerate — "cough" matching "coughing". Replaced by graded similarity.</w:t>
      </w:r>
    </w:p>
    <w:p>
      <w:pPr>
        <w:pStyle w:val="Heading3"/>
        <w:spacing w:after="90" w:before="200"/>
      </w:pPr>
      <w:r>
        <w:t xml:space="preserve">Abandoned: weighting prior primary diagnoses positively</w:t>
      </w:r>
    </w:p>
    <w:p>
      <w:pPr>
        <w:spacing w:after="150"/>
      </w:pPr>
      <w:r>
        <w:rPr>
          <w:rFonts w:ascii="Calibri" w:cs="Calibri" w:eastAsia="Calibri" w:hAnsi="Calibri"/>
          <w:sz w:val="22"/>
          <w:szCs w:val="22"/>
        </w:rPr>
        <w:t xml:space="preserve">Stage 9 originally boosted codes that had been a primary diagnosis, on the reasoning that they were clinically dominant. Measured, they recur at </w:t>
      </w:r>
      <w:r>
        <w:rPr>
          <w:rFonts w:ascii="Calibri" w:cs="Calibri" w:eastAsia="Calibri" w:hAnsi="Calibri"/>
          <w:b/>
          <w:bCs/>
          <w:sz w:val="22"/>
          <w:szCs w:val="22"/>
        </w:rPr>
        <w:t xml:space="preserve">20% versus a 29.7% baseline</w:t>
      </w:r>
      <w:r>
        <w:rPr>
          <w:rFonts w:ascii="Calibri" w:cs="Calibri" w:eastAsia="Calibri" w:hAnsi="Calibri"/>
          <w:sz w:val="22"/>
          <w:szCs w:val="22"/>
        </w:rPr>
        <w:t xml:space="preserve"> — the signal runs the other way. The primary diagnosis is the acute reason for </w:t>
      </w:r>
      <w:r>
        <w:rPr>
          <w:rFonts w:ascii="Calibri" w:cs="Calibri" w:eastAsia="Calibri" w:hAnsi="Calibri"/>
          <w:i/>
          <w:iCs/>
          <w:sz w:val="22"/>
          <w:szCs w:val="22"/>
        </w:rPr>
        <w:t xml:space="preserve">that</w:t>
      </w:r>
      <w:r>
        <w:rPr>
          <w:rFonts w:ascii="Calibri" w:cs="Calibri" w:eastAsia="Calibri" w:hAnsi="Calibri"/>
          <w:sz w:val="22"/>
          <w:szCs w:val="22"/>
        </w:rPr>
        <w:t xml:space="preserve"> admission — the sepsis, the fracture — which is exactly what resolves. Chronic conditions that persist sit in the secondary list. The weight is now −0.20.</w:t>
      </w:r>
    </w:p>
    <w:p>
      <w:pPr>
        <w:pStyle w:val="Heading3"/>
        <w:spacing w:after="90" w:before="200"/>
      </w:pPr>
      <w:r>
        <w:t xml:space="preserve">Abandoned: agreement between history and the symptom chain</w:t>
      </w:r>
    </w:p>
    <w:p>
      <w:pPr>
        <w:spacing w:after="150"/>
      </w:pPr>
      <w:r>
        <w:rPr>
          <w:rFonts w:ascii="Calibri" w:cs="Calibri" w:eastAsia="Calibri" w:hAnsi="Calibri"/>
          <w:sz w:val="22"/>
          <w:szCs w:val="22"/>
        </w:rPr>
        <w:t xml:space="preserve">The design bet was that a code supported by both history and the current note would be strongest, and Stage 7 deliberately withholds prior codes so agreement would be independent. Measured: only 6 codes across the entire cohort ever appeared in both, and those ran at 16.7% — worse than history alone. The signal was too rare to build on. Notably the same idea succeeded for history + labs (67%), where the overlap is real.</w:t>
      </w:r>
    </w:p>
    <w:p>
      <w:pPr>
        <w:pStyle w:val="Heading3"/>
        <w:spacing w:after="90" w:before="200"/>
      </w:pPr>
      <w:r>
        <w:t xml:space="preserve">Abandoned: expanding codes to category siblings</w:t>
      </w:r>
    </w:p>
    <w:p>
      <w:pPr>
        <w:spacing w:after="150"/>
      </w:pPr>
      <w:r>
        <w:rPr>
          <w:rFonts w:ascii="Calibri" w:cs="Calibri" w:eastAsia="Calibri" w:hAnsi="Calibri"/>
          <w:sz w:val="22"/>
          <w:szCs w:val="22"/>
        </w:rPr>
        <w:t xml:space="preserve">Since a quarter of "new" codes are specificity variants of something already in history, expanding each carried code to its category siblings should have recovered them. It does raise recall (0.449 → 0.559) but requires </w:t>
      </w:r>
      <w:r>
        <w:rPr>
          <w:rFonts w:ascii="Calibri" w:cs="Calibri" w:eastAsia="Calibri" w:hAnsi="Calibri"/>
          <w:b/>
          <w:bCs/>
          <w:sz w:val="22"/>
          <w:szCs w:val="22"/>
        </w:rPr>
        <w:t xml:space="preserve">5,245 predictions instead of 314</w:t>
      </w:r>
      <w:r>
        <w:rPr>
          <w:rFonts w:ascii="Calibri" w:cs="Calibri" w:eastAsia="Calibri" w:hAnsi="Calibri"/>
          <w:sz w:val="22"/>
          <w:szCs w:val="22"/>
        </w:rPr>
        <w:t xml:space="preserve"> to do so — roughly 4,900 wrong codes for 34 right ones. The median 3-character category contains 12 codes and the largest contains 208. macro F1 collapses from 0.379 to 0.054.</w:t>
      </w:r>
    </w:p>
    <w:p>
      <w:pPr>
        <w:pStyle w:val="Heading3"/>
        <w:spacing w:after="90" w:before="200"/>
      </w:pPr>
      <w:r>
        <w:t xml:space="preserve">Abandoned: using labs to fix code specificity</w:t>
      </w:r>
    </w:p>
    <w:p>
      <w:pPr>
        <w:spacing w:after="150"/>
      </w:pPr>
      <w:r>
        <w:rPr>
          <w:rFonts w:ascii="Calibri" w:cs="Calibri" w:eastAsia="Calibri" w:hAnsi="Calibri"/>
          <w:sz w:val="22"/>
          <w:szCs w:val="22"/>
        </w:rPr>
        <w:t xml:space="preserve">Of 33 near-misses where the right category was predicted at the wrong specificity, only 3–5 were resolvable by a lab value. The rest required echocardiography, ECG, sleep studies, laterality from imaging, or administrative detail such as place of occurrence. The errors also ran in both directions — the pipeline was too specific about as often as too vague — so no systematic correction exists.</w:t>
      </w:r>
    </w:p>
    <w:p>
      <w:pPr>
        <w:pStyle w:val="Heading3"/>
        <w:spacing w:after="90" w:before="200"/>
      </w:pPr>
      <w:r>
        <w:t xml:space="preserve">Abandoned after implementation: LLM reasoning over labs and radiology</w:t>
      </w:r>
    </w:p>
    <w:p>
      <w:pPr>
        <w:spacing w:after="150"/>
      </w:pPr>
      <w:r>
        <w:rPr>
          <w:rFonts w:ascii="Calibri" w:cs="Calibri" w:eastAsia="Calibri" w:hAnsi="Calibri"/>
          <w:sz w:val="22"/>
          <w:szCs w:val="22"/>
        </w:rPr>
        <w:t xml:space="preserve">Stage 7 was extended with a pass that read abnormal labs and radiology impressions and inferred diagnoses from them. It produced </w:t>
      </w:r>
      <w:r>
        <w:rPr>
          <w:rFonts w:ascii="Calibri" w:cs="Calibri" w:eastAsia="Calibri" w:hAnsi="Calibri"/>
          <w:b/>
          <w:bCs/>
          <w:sz w:val="22"/>
          <w:szCs w:val="22"/>
        </w:rPr>
        <w:t xml:space="preserve">60 codes with 3 correct (5% precision)</w:t>
      </w:r>
      <w:r>
        <w:rPr>
          <w:rFonts w:ascii="Calibri" w:cs="Calibri" w:eastAsia="Calibri" w:hAnsi="Calibri"/>
          <w:sz w:val="22"/>
          <w:szCs w:val="22"/>
        </w:rPr>
        <w:t xml:space="preserve">, against </w:t>
      </w:r>
      <w:r>
        <w:rPr>
          <w:rFonts w:ascii="Calibri" w:cs="Calibri" w:eastAsia="Calibri" w:hAnsi="Calibri"/>
          <w:b/>
          <w:bCs/>
          <w:sz w:val="22"/>
          <w:szCs w:val="22"/>
        </w:rPr>
        <w:t xml:space="preserve">30% for the mechanical rules reading the same values</w:t>
      </w:r>
      <w:r>
        <w:rPr>
          <w:rFonts w:ascii="Calibri" w:cs="Calibri" w:eastAsia="Calibri" w:hAnsi="Calibri"/>
          <w:sz w:val="22"/>
          <w:szCs w:val="22"/>
        </w:rPr>
        <w:t xml:space="preserve">. Two failure modes, neither fixable by prompting:</w:t>
      </w:r>
    </w:p>
    <w:p>
      <w:pPr>
        <w:pStyle w:val="ListParagraph"/>
        <w:numPr>
          <w:ilvl w:val="0"/>
          <w:numId w:val="2"/>
        </w:numPr>
        <w:spacing w:after="90"/>
      </w:pPr>
      <w:r>
        <w:rPr>
          <w:rFonts w:ascii="Calibri" w:cs="Calibri" w:eastAsia="Calibri" w:hAnsi="Calibri"/>
          <w:b/>
          <w:bCs/>
          <w:sz w:val="22"/>
          <w:szCs w:val="22"/>
        </w:rPr>
        <w:t xml:space="preserve">Specificity drift through the chain. </w:t>
      </w:r>
      <w:r>
        <w:rPr>
          <w:rFonts w:ascii="Calibri" w:cs="Calibri" w:eastAsia="Calibri" w:hAnsi="Calibri"/>
          <w:sz w:val="22"/>
          <w:szCs w:val="22"/>
        </w:rPr>
        <w:t xml:space="preserve">pH 7.11 became "Severe Metabolic Acidosis" → SNOMED Metabolic acidosis → </w:t>
      </w:r>
      <w:r>
        <w:rPr>
          <w:rFonts w:ascii="Consolas" w:cs="Consolas" w:eastAsia="Consolas" w:hAnsi="Consolas"/>
          <w:sz w:val="20"/>
          <w:szCs w:val="20"/>
        </w:rPr>
        <w:t xml:space="preserve">E87.20</w:t>
      </w:r>
      <w:r>
        <w:rPr>
          <w:rFonts w:ascii="Calibri" w:cs="Calibri" w:eastAsia="Calibri" w:hAnsi="Calibri"/>
          <w:sz w:val="22"/>
          <w:szCs w:val="22"/>
        </w:rPr>
        <w:t xml:space="preserve">, where ground truth holds </w:t>
      </w:r>
      <w:r>
        <w:rPr>
          <w:rFonts w:ascii="Consolas" w:cs="Consolas" w:eastAsia="Consolas" w:hAnsi="Consolas"/>
          <w:sz w:val="20"/>
          <w:szCs w:val="20"/>
        </w:rPr>
        <w:t xml:space="preserve">E87.2</w:t>
      </w:r>
      <w:r>
        <w:rPr>
          <w:rFonts w:ascii="Calibri" w:cs="Calibri" w:eastAsia="Calibri" w:hAnsi="Calibri"/>
          <w:sz w:val="22"/>
          <w:szCs w:val="22"/>
        </w:rPr>
        <w:t xml:space="preserve">. The one-step rule emitted </w:t>
      </w:r>
      <w:r>
        <w:rPr>
          <w:rFonts w:ascii="Consolas" w:cs="Consolas" w:eastAsia="Consolas" w:hAnsi="Consolas"/>
          <w:sz w:val="20"/>
          <w:szCs w:val="20"/>
        </w:rPr>
        <w:t xml:space="preserve">E87.2</w:t>
      </w:r>
      <w:r>
        <w:rPr>
          <w:rFonts w:ascii="Calibri" w:cs="Calibri" w:eastAsia="Calibri" w:hAnsi="Calibri"/>
          <w:sz w:val="22"/>
          <w:szCs w:val="22"/>
        </w:rPr>
        <w:t xml:space="preserve"> and scored.</w:t>
      </w:r>
    </w:p>
    <w:p>
      <w:pPr>
        <w:pStyle w:val="ListParagraph"/>
        <w:numPr>
          <w:ilvl w:val="0"/>
          <w:numId w:val="2"/>
        </w:numPr>
        <w:spacing w:after="90"/>
      </w:pPr>
      <w:r>
        <w:rPr>
          <w:rFonts w:ascii="Calibri" w:cs="Calibri" w:eastAsia="Calibri" w:hAnsi="Calibri"/>
          <w:b/>
          <w:bCs/>
          <w:sz w:val="22"/>
          <w:szCs w:val="22"/>
        </w:rPr>
        <w:t xml:space="preserve">Clinically true but uncoded. </w:t>
      </w:r>
      <w:r>
        <w:rPr>
          <w:rFonts w:ascii="Calibri" w:cs="Calibri" w:eastAsia="Calibri" w:hAnsi="Calibri"/>
          <w:sz w:val="22"/>
          <w:szCs w:val="22"/>
        </w:rPr>
        <w:t xml:space="preserve">Anaemia, DIC and acute kidney injury are all defensible readings of a sick ICU patient's labs, and were simply not what the coder recorded.</w:t>
      </w:r>
    </w:p>
    <w:p>
      <w:pPr>
        <w:spacing w:after="150"/>
      </w:pPr>
      <w:r>
        <w:rPr>
          <w:rFonts w:ascii="Calibri" w:cs="Calibri" w:eastAsia="Calibri" w:hAnsi="Calibri"/>
          <w:sz w:val="22"/>
          <w:szCs w:val="22"/>
        </w:rPr>
        <w:t xml:space="preserve">The lesson generalises: </w:t>
      </w:r>
      <w:r>
        <w:rPr>
          <w:rFonts w:ascii="Calibri" w:cs="Calibri" w:eastAsia="Calibri" w:hAnsi="Calibri"/>
          <w:b/>
          <w:bCs/>
          <w:sz w:val="22"/>
          <w:szCs w:val="22"/>
        </w:rPr>
        <w:t xml:space="preserve">where a value maps deterministically to a code, a rule beats reasoning.</w:t>
      </w:r>
      <w:r>
        <w:rPr>
          <w:rFonts w:ascii="Calibri" w:cs="Calibri" w:eastAsia="Calibri" w:hAnsi="Calibri"/>
          <w:sz w:val="22"/>
          <w:szCs w:val="22"/>
        </w:rPr>
        <w:t xml:space="preserve"> The model is not wrong about medicine; it is answering "what does this patient have?" when coding asks "what did the coder record, at what specificity?"</w:t>
      </w:r>
    </w:p>
    <w:p>
      <w:pPr>
        <w:pStyle w:val="Heading3"/>
        <w:spacing w:after="90" w:before="200"/>
      </w:pPr>
      <w:r>
        <w:t xml:space="preserve">Chosen: the official NLM map over API lookups</w:t>
      </w:r>
    </w:p>
    <w:p>
      <w:pPr>
        <w:spacing w:after="150"/>
      </w:pPr>
      <w:r>
        <w:rPr>
          <w:rFonts w:ascii="Calibri" w:cs="Calibri" w:eastAsia="Calibri" w:hAnsi="Calibri"/>
          <w:sz w:val="22"/>
          <w:szCs w:val="22"/>
        </w:rPr>
        <w:t xml:space="preserve">Three routes were tested for SNOMED→ICD-10. The UMLS crosswalk and text search both failed on clinically serious cases — "Septic shock" returned </w:t>
      </w:r>
      <w:r>
        <w:rPr>
          <w:rFonts w:ascii="Consolas" w:cs="Consolas" w:eastAsia="Consolas" w:hAnsi="Consolas"/>
          <w:sz w:val="20"/>
          <w:szCs w:val="20"/>
        </w:rPr>
        <w:t xml:space="preserve">R65.20</w:t>
      </w:r>
      <w:r>
        <w:rPr>
          <w:rFonts w:ascii="Calibri" w:cs="Calibri" w:eastAsia="Calibri" w:hAnsi="Calibri"/>
          <w:sz w:val="22"/>
          <w:szCs w:val="22"/>
        </w:rPr>
        <w:t xml:space="preserve"> "severe sepsis </w:t>
      </w:r>
      <w:r>
        <w:rPr>
          <w:rFonts w:ascii="Calibri" w:cs="Calibri" w:eastAsia="Calibri" w:hAnsi="Calibri"/>
          <w:i/>
          <w:iCs/>
          <w:sz w:val="22"/>
          <w:szCs w:val="22"/>
        </w:rPr>
        <w:t xml:space="preserve">without</w:t>
      </w:r>
      <w:r>
        <w:rPr>
          <w:rFonts w:ascii="Calibri" w:cs="Calibri" w:eastAsia="Calibri" w:hAnsi="Calibri"/>
          <w:sz w:val="22"/>
          <w:szCs w:val="22"/>
        </w:rPr>
        <w:t xml:space="preserve"> septic shock", and "Vaginal hemorrhage" returned </w:t>
      </w:r>
      <w:r>
        <w:rPr>
          <w:rFonts w:ascii="Consolas" w:cs="Consolas" w:eastAsia="Consolas" w:hAnsi="Consolas"/>
          <w:sz w:val="20"/>
          <w:szCs w:val="20"/>
        </w:rPr>
        <w:t xml:space="preserve">P54.6</w:t>
      </w:r>
      <w:r>
        <w:rPr>
          <w:rFonts w:ascii="Calibri" w:cs="Calibri" w:eastAsia="Calibri" w:hAnsi="Calibri"/>
          <w:sz w:val="22"/>
          <w:szCs w:val="22"/>
        </w:rPr>
        <w:t xml:space="preserve"> "Neonatal vaginal hemorrhage" for an adult woman. The official rule-based map returns </w:t>
      </w:r>
      <w:r>
        <w:rPr>
          <w:rFonts w:ascii="Consolas" w:cs="Consolas" w:eastAsia="Consolas" w:hAnsi="Consolas"/>
          <w:sz w:val="20"/>
          <w:szCs w:val="20"/>
        </w:rPr>
        <w:t xml:space="preserve">R65.21</w:t>
      </w:r>
      <w:r>
        <w:rPr>
          <w:rFonts w:ascii="Calibri" w:cs="Calibri" w:eastAsia="Calibri" w:hAnsi="Calibri"/>
          <w:sz w:val="22"/>
          <w:szCs w:val="22"/>
        </w:rPr>
        <w:t xml:space="preserve"> correctly, handles combination coding, applies age rules so neonatal codes are not emitted for adults, and returns nothing when ICD-10-CM genuinely cannot express a concept. Coverage is 98%.</w:t>
      </w:r>
    </w:p>
    <w:p>
      <w:pPr>
        <w:pStyle w:val="Heading3"/>
        <w:spacing w:after="90" w:before="200"/>
      </w:pPr>
      <w:r>
        <w:t xml:space="preserve">Reversed: a threshold that silently excluded the ontology</w:t>
      </w:r>
    </w:p>
    <w:p>
      <w:pPr>
        <w:spacing w:after="150"/>
      </w:pPr>
      <w:r>
        <w:rPr>
          <w:rFonts w:ascii="Calibri" w:cs="Calibri" w:eastAsia="Calibri" w:hAnsi="Calibri"/>
          <w:sz w:val="22"/>
          <w:szCs w:val="22"/>
        </w:rPr>
        <w:t xml:space="preserve">Stage 11 briefly required two supporting diagnoses per code, tuned for F1. Because Stage 7 yields about one diagnosis per cluster, </w:t>
      </w:r>
      <w:r>
        <w:rPr>
          <w:rFonts w:ascii="Calibri" w:cs="Calibri" w:eastAsia="Calibri" w:hAnsi="Calibri"/>
          <w:b/>
          <w:bCs/>
          <w:sz w:val="22"/>
          <w:szCs w:val="22"/>
        </w:rPr>
        <w:t xml:space="preserve">no code ever reached two</w:t>
      </w:r>
      <w:r>
        <w:rPr>
          <w:rFonts w:ascii="Calibri" w:cs="Calibri" w:eastAsia="Calibri" w:hAnsi="Calibri"/>
          <w:sz w:val="22"/>
          <w:szCs w:val="22"/>
        </w:rPr>
        <w:t xml:space="preserve">, and the entire ontology chain was excluded from the output without that being visible in the headline metric. The threshold is now 1. This is recorded because it illustrates a real hazard: optimising a single metric can silently remove the component under study.</w:t>
      </w:r>
    </w:p>
    <w:p>
      <w:pPr>
        <w:pStyle w:val="Heading1"/>
        <w:spacing w:after="160" w:before="340"/>
      </w:pPr>
      <w:r>
        <w:t xml:space="preserve">5. Honest assessment</w:t>
      </w:r>
    </w:p>
    <w:p>
      <w:pPr>
        <w:spacing w:after="150"/>
      </w:pPr>
      <w:r>
        <w:rPr>
          <w:rFonts w:ascii="Calibri" w:cs="Calibri" w:eastAsia="Calibri" w:hAnsi="Calibri"/>
          <w:b/>
          <w:bCs/>
          <w:sz w:val="22"/>
          <w:szCs w:val="22"/>
        </w:rPr>
        <w:t xml:space="preserve">The ontology chain does not currently improve final code prediction over reading the patient's coding history.</w:t>
      </w:r>
      <w:r>
        <w:rPr>
          <w:rFonts w:ascii="Calibri" w:cs="Calibri" w:eastAsia="Calibri" w:hAnsi="Calibri"/>
          <w:sz w:val="22"/>
          <w:szCs w:val="22"/>
        </w:rPr>
        <w:t xml:space="preserve"> That is the central negative result, and it is specific rather than a verdict on ontologies.</w:t>
      </w:r>
    </w:p>
    <w:p>
      <w:pPr>
        <w:spacing w:after="150"/>
      </w:pPr>
      <w:r>
        <w:rPr>
          <w:rFonts w:ascii="Calibri" w:cs="Calibri" w:eastAsia="Calibri" w:hAnsi="Calibri"/>
          <w:sz w:val="22"/>
          <w:szCs w:val="22"/>
        </w:rPr>
        <w:t xml:space="preserve">The components work. Grounding resolves terms correctly. The official map produces correct codes. What fails is the match between what the chain can see and what gets coded:</w:t>
      </w:r>
    </w:p>
    <w:p>
      <w:pPr>
        <w:pStyle w:val="ListParagraph"/>
        <w:numPr>
          <w:ilvl w:val="0"/>
          <w:numId w:val="2"/>
        </w:numPr>
        <w:spacing w:after="90"/>
      </w:pPr>
      <w:r>
        <w:rPr>
          <w:rFonts w:ascii="Calibri" w:cs="Calibri" w:eastAsia="Calibri" w:hAnsi="Calibri"/>
          <w:sz w:val="22"/>
          <w:szCs w:val="22"/>
        </w:rPr>
        <w:t xml:space="preserve">17.4% of ground truth is chapter Z — homelessness, long-term drug use, palliative care encounters — which no symptom implies</w:t>
      </w:r>
    </w:p>
    <w:p>
      <w:pPr>
        <w:pStyle w:val="ListParagraph"/>
        <w:numPr>
          <w:ilvl w:val="0"/>
          <w:numId w:val="2"/>
        </w:numPr>
        <w:spacing w:after="90"/>
      </w:pPr>
      <w:r>
        <w:rPr>
          <w:rFonts w:ascii="Calibri" w:cs="Calibri" w:eastAsia="Calibri" w:hAnsi="Calibri"/>
          <w:sz w:val="22"/>
          <w:szCs w:val="22"/>
        </w:rPr>
        <w:t xml:space="preserve">Most of the remainder is chronic comorbidity already recorded in history</w:t>
      </w:r>
    </w:p>
    <w:p>
      <w:pPr>
        <w:pStyle w:val="ListParagraph"/>
        <w:numPr>
          <w:ilvl w:val="0"/>
          <w:numId w:val="2"/>
        </w:numPr>
        <w:spacing w:after="90"/>
      </w:pPr>
      <w:r>
        <w:rPr>
          <w:rFonts w:ascii="Calibri" w:cs="Calibri" w:eastAsia="Calibri" w:hAnsi="Calibri"/>
          <w:sz w:val="22"/>
          <w:szCs w:val="22"/>
        </w:rPr>
        <w:t xml:space="preserve">Only 5.7% of ground truth is chapter R symptom codes, which is what symptom-based reasoning naturally produces</w:t>
      </w:r>
    </w:p>
    <w:p>
      <w:pPr>
        <w:pStyle w:val="ListParagraph"/>
        <w:numPr>
          <w:ilvl w:val="0"/>
          <w:numId w:val="2"/>
        </w:numPr>
        <w:spacing w:after="90"/>
      </w:pPr>
      <w:r>
        <w:rPr>
          <w:rFonts w:ascii="Calibri" w:cs="Calibri" w:eastAsia="Calibri" w:hAnsi="Calibri"/>
          <w:sz w:val="22"/>
          <w:szCs w:val="22"/>
        </w:rPr>
        <w:t xml:space="preserve">Stage 8 generates ~64 candidates against 247 ground-truth codes, capping recall near 25% even at perfect precision</w:t>
      </w:r>
    </w:p>
    <w:p>
      <w:pPr>
        <w:spacing w:after="150"/>
      </w:pPr>
      <w:r>
        <w:rPr>
          <w:rFonts w:ascii="Calibri" w:cs="Calibri" w:eastAsia="Calibri" w:hAnsi="Calibri"/>
          <w:b/>
          <w:bCs/>
          <w:sz w:val="22"/>
          <w:szCs w:val="22"/>
        </w:rPr>
        <w:t xml:space="preserve">Where the ontology demonstrably wins: </w:t>
      </w:r>
      <w:r>
        <w:rPr>
          <w:rFonts w:ascii="Calibri" w:cs="Calibri" w:eastAsia="Calibri" w:hAnsi="Calibri"/>
          <w:sz w:val="22"/>
          <w:szCs w:val="22"/>
        </w:rPr>
        <w:t xml:space="preserve">imaging findings cluster correctly with symptoms under graph metrics (pulmonary edema and atelectasis: Jaccard 0.739, shared finding site Lung structure) while cosine text similarity ranks </w:t>
      </w:r>
      <w:r>
        <w:rPr>
          <w:rFonts w:ascii="Calibri" w:cs="Calibri" w:eastAsia="Calibri" w:hAnsi="Calibri"/>
          <w:i/>
          <w:iCs/>
          <w:sz w:val="22"/>
          <w:szCs w:val="22"/>
        </w:rPr>
        <w:t xml:space="preserve">epistaxis</w:t>
      </w:r>
      <w:r>
        <w:rPr>
          <w:rFonts w:ascii="Calibri" w:cs="Calibri" w:eastAsia="Calibri" w:hAnsi="Calibri"/>
          <w:sz w:val="22"/>
          <w:szCs w:val="22"/>
        </w:rPr>
        <w:t xml:space="preserve"> as pleural effusion's nearest neighbour. The ontology encodes clinical structure that text similarity misses — a concrete demonstration, though not one the current configuration exploits.</w:t>
      </w:r>
    </w:p>
    <w:p>
      <w:pPr>
        <w:spacing w:after="150"/>
      </w:pPr>
      <w:r>
        <w:rPr>
          <w:rFonts w:ascii="Calibri" w:cs="Calibri" w:eastAsia="Calibri" w:hAnsi="Calibri"/>
          <w:b/>
          <w:bCs/>
          <w:sz w:val="22"/>
          <w:szCs w:val="22"/>
        </w:rPr>
        <w:t xml:space="preserve">Arguably the strongest contribution </w:t>
      </w:r>
      <w:r>
        <w:rPr>
          <w:rFonts w:ascii="Calibri" w:cs="Calibri" w:eastAsia="Calibri" w:hAnsi="Calibri"/>
          <w:sz w:val="22"/>
          <w:szCs w:val="22"/>
        </w:rPr>
        <w:t xml:space="preserve">is the baseline itself. Patient coding history reaches F1 0.363 with no NLP, and much of the ICD-coding literature does not report that comparison. Any method that does not beat it has not earned its complexity.</w:t>
      </w:r>
    </w:p>
    <w:p>
      <w:pPr>
        <w:pStyle w:val="Heading2"/>
        <w:spacing w:after="110" w:before="260"/>
      </w:pPr>
      <w:r>
        <w:t xml:space="preserve">Limitations</w:t>
      </w:r>
    </w:p>
    <w:p>
      <w:pPr>
        <w:pStyle w:val="ListParagraph"/>
        <w:numPr>
          <w:ilvl w:val="0"/>
          <w:numId w:val="2"/>
        </w:numPr>
        <w:spacing w:after="90"/>
      </w:pPr>
      <w:r>
        <w:rPr>
          <w:rFonts w:ascii="Calibri" w:cs="Calibri" w:eastAsia="Calibri" w:hAnsi="Calibri"/>
          <w:b/>
          <w:bCs/>
          <w:sz w:val="22"/>
          <w:szCs w:val="22"/>
        </w:rPr>
        <w:t xml:space="preserve">Scale. </w:t>
      </w:r>
      <w:r>
        <w:rPr>
          <w:rFonts w:ascii="Calibri" w:cs="Calibri" w:eastAsia="Calibri" w:hAnsi="Calibri"/>
          <w:sz w:val="22"/>
          <w:szCs w:val="22"/>
        </w:rPr>
        <w:t xml:space="preserve">15 admissions and 247 codes. Every figure here is fragile; the agreement finding rested on 6 overlapping codes.</w:t>
      </w:r>
    </w:p>
    <w:p>
      <w:pPr>
        <w:pStyle w:val="ListParagraph"/>
        <w:numPr>
          <w:ilvl w:val="0"/>
          <w:numId w:val="2"/>
        </w:numPr>
        <w:spacing w:after="90"/>
      </w:pPr>
      <w:r>
        <w:rPr>
          <w:rFonts w:ascii="Calibri" w:cs="Calibri" w:eastAsia="Calibri" w:hAnsi="Calibri"/>
          <w:b/>
          <w:bCs/>
          <w:sz w:val="22"/>
          <w:szCs w:val="22"/>
        </w:rPr>
        <w:t xml:space="preserve">Reproducibility. </w:t>
      </w:r>
      <w:r>
        <w:rPr>
          <w:rFonts w:ascii="Calibri" w:cs="Calibri" w:eastAsia="Calibri" w:hAnsi="Calibri"/>
          <w:sz w:val="22"/>
          <w:szCs w:val="22"/>
        </w:rPr>
        <w:t xml:space="preserve">The inference stage runs at temperature 0.1, so re-running shifts results slightly. Reported numbers come from a single fixed run.</w:t>
      </w:r>
    </w:p>
    <w:p>
      <w:pPr>
        <w:pStyle w:val="ListParagraph"/>
        <w:numPr>
          <w:ilvl w:val="0"/>
          <w:numId w:val="2"/>
        </w:numPr>
        <w:spacing w:after="90"/>
      </w:pPr>
      <w:r>
        <w:rPr>
          <w:rFonts w:ascii="Calibri" w:cs="Calibri" w:eastAsia="Calibri" w:hAnsi="Calibri"/>
          <w:b/>
          <w:bCs/>
          <w:sz w:val="22"/>
          <w:szCs w:val="22"/>
        </w:rPr>
        <w:t xml:space="preserve">Principal diagnosis. </w:t>
      </w:r>
      <w:r>
        <w:rPr>
          <w:rFonts w:ascii="Calibri" w:cs="Calibri" w:eastAsia="Calibri" w:hAnsi="Calibri"/>
          <w:sz w:val="22"/>
          <w:szCs w:val="22"/>
        </w:rPr>
        <w:t xml:space="preserve">Never identified exactly (0/15), though present somewhere in the prediction for 10/15. Scoring is dominated by chronicity, while the principal diagnosis is by definition the acute reason for admission.</w:t>
      </w:r>
    </w:p>
    <w:p>
      <w:pPr>
        <w:pStyle w:val="ListParagraph"/>
        <w:numPr>
          <w:ilvl w:val="0"/>
          <w:numId w:val="2"/>
        </w:numPr>
        <w:spacing w:after="90"/>
      </w:pPr>
      <w:r>
        <w:rPr>
          <w:rFonts w:ascii="Calibri" w:cs="Calibri" w:eastAsia="Calibri" w:hAnsi="Calibri"/>
          <w:b/>
          <w:bCs/>
          <w:sz w:val="22"/>
          <w:szCs w:val="22"/>
        </w:rPr>
        <w:t xml:space="preserve">Wide per-patient variance. </w:t>
      </w:r>
      <w:r>
        <w:rPr>
          <w:rFonts w:ascii="Calibri" w:cs="Calibri" w:eastAsia="Calibri" w:hAnsi="Calibri"/>
          <w:sz w:val="22"/>
          <w:szCs w:val="22"/>
        </w:rPr>
        <w:t xml:space="preserve">F1 ranges from 0.111 to 0.667 across admissions, tracking how much usable history each patient has.</w:t>
      </w:r>
    </w:p>
    <w:p>
      <w:pPr>
        <w:pStyle w:val="Heading1"/>
        <w:spacing w:after="160" w:before="340"/>
      </w:pPr>
      <w:r>
        <w:t xml:space="preserve">6. Where to go next</w:t>
      </w:r>
    </w:p>
    <w:p>
      <w:pPr>
        <w:spacing w:after="150"/>
      </w:pPr>
      <w:r>
        <w:rPr>
          <w:rFonts w:ascii="Calibri" w:cs="Calibri" w:eastAsia="Calibri" w:hAnsi="Calibri"/>
          <w:sz w:val="22"/>
          <w:szCs w:val="22"/>
        </w:rPr>
        <w:t xml:space="preserve">In order of expected value, based on the measurements above:</w:t>
      </w:r>
    </w:p>
    <w:p>
      <w:pPr>
        <w:pStyle w:val="ListParagraph"/>
        <w:numPr>
          <w:ilvl w:val="0"/>
          <w:numId w:val="2"/>
        </w:numPr>
        <w:spacing w:after="90"/>
      </w:pPr>
      <w:r>
        <w:rPr>
          <w:rFonts w:ascii="Calibri" w:cs="Calibri" w:eastAsia="Calibri" w:hAnsi="Calibri"/>
          <w:b/>
          <w:bCs/>
          <w:sz w:val="22"/>
          <w:szCs w:val="22"/>
        </w:rPr>
        <w:t xml:space="preserve">Map DOCUMENTED_DIAGNOSES through Stage 8. </w:t>
      </w:r>
      <w:r>
        <w:rPr>
          <w:rFonts w:ascii="Calibri" w:cs="Calibri" w:eastAsia="Calibri" w:hAnsi="Calibri"/>
          <w:sz w:val="22"/>
          <w:szCs w:val="22"/>
        </w:rPr>
        <w:t xml:space="preserve">The note's problem list is currently discarded — Stage 5 routes only CURRENT_SYMPTOMS. This is the largest untapped source and needs no new modelling.</w:t>
      </w:r>
    </w:p>
    <w:p>
      <w:pPr>
        <w:pStyle w:val="ListParagraph"/>
        <w:numPr>
          <w:ilvl w:val="0"/>
          <w:numId w:val="2"/>
        </w:numPr>
        <w:spacing w:after="90"/>
      </w:pPr>
      <w:r>
        <w:rPr>
          <w:rFonts w:ascii="Calibri" w:cs="Calibri" w:eastAsia="Calibri" w:hAnsi="Calibri"/>
          <w:b/>
          <w:bCs/>
          <w:sz w:val="22"/>
          <w:szCs w:val="22"/>
        </w:rPr>
        <w:t xml:space="preserve">Extend Stage 10's rules. </w:t>
      </w:r>
      <w:r>
        <w:rPr>
          <w:rFonts w:ascii="Calibri" w:cs="Calibri" w:eastAsia="Calibri" w:hAnsi="Calibri"/>
          <w:sz w:val="22"/>
          <w:szCs w:val="22"/>
        </w:rPr>
        <w:t xml:space="preserve">Highest-precision source at 48%, and each rule is a few lines. Uncovered lab-driven codes remain in the ground truth.</w:t>
      </w:r>
    </w:p>
    <w:p>
      <w:pPr>
        <w:pStyle w:val="ListParagraph"/>
        <w:numPr>
          <w:ilvl w:val="0"/>
          <w:numId w:val="2"/>
        </w:numPr>
        <w:spacing w:after="90"/>
      </w:pPr>
      <w:r>
        <w:rPr>
          <w:rFonts w:ascii="Calibri" w:cs="Calibri" w:eastAsia="Calibri" w:hAnsi="Calibri"/>
          <w:b/>
          <w:bCs/>
          <w:sz w:val="22"/>
          <w:szCs w:val="22"/>
        </w:rPr>
        <w:t xml:space="preserve">Exploit route agreement further. </w:t>
      </w:r>
      <w:r>
        <w:rPr>
          <w:rFonts w:ascii="Calibri" w:cs="Calibri" w:eastAsia="Calibri" w:hAnsi="Calibri"/>
          <w:sz w:val="22"/>
          <w:szCs w:val="22"/>
        </w:rPr>
        <w:t xml:space="preserve">Codes confirmed by two routes run at 67% precision — currently used for ranking only.</w:t>
      </w:r>
    </w:p>
    <w:p>
      <w:pPr>
        <w:pStyle w:val="ListParagraph"/>
        <w:numPr>
          <w:ilvl w:val="0"/>
          <w:numId w:val="2"/>
        </w:numPr>
        <w:spacing w:after="90"/>
      </w:pPr>
      <w:r>
        <w:rPr>
          <w:rFonts w:ascii="Calibri" w:cs="Calibri" w:eastAsia="Calibri" w:hAnsi="Calibri"/>
          <w:b/>
          <w:bCs/>
          <w:sz w:val="22"/>
          <w:szCs w:val="22"/>
        </w:rPr>
        <w:t xml:space="preserve">Scale the cohort. </w:t>
      </w:r>
      <w:r>
        <w:rPr>
          <w:rFonts w:ascii="Calibri" w:cs="Calibri" w:eastAsia="Calibri" w:hAnsi="Calibri"/>
          <w:sz w:val="22"/>
          <w:szCs w:val="22"/>
        </w:rPr>
        <w:t xml:space="preserve">Nothing here should be treated as settled at n=15.</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2026-08-13T21:14:41.233Z</dcterms:created>
  <dcterms:modified xsi:type="dcterms:W3CDTF">2026-08-13T21:14:41.234Z</dcterms:modified>
</cp:coreProperties>
</file>

<file path=docProps/custom.xml><?xml version="1.0" encoding="utf-8"?>
<Properties xmlns="http://schemas.openxmlformats.org/officeDocument/2006/custom-properties" xmlns:vt="http://schemas.openxmlformats.org/officeDocument/2006/docPropsVTypes"/>
</file>