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2EB7" w:rsidRDefault="0029566D">
      <w:r>
        <w:t xml:space="preserve">Observation from </w:t>
      </w:r>
      <w:r w:rsidR="00BA6CB6">
        <w:t xml:space="preserve">historical </w:t>
      </w:r>
      <w:proofErr w:type="spellStart"/>
      <w:r w:rsidR="00BA6CB6">
        <w:t>OpRisk</w:t>
      </w:r>
      <w:proofErr w:type="spellEnd"/>
      <w:r w:rsidR="00BA6CB6">
        <w:t xml:space="preserve"> losses:</w:t>
      </w:r>
    </w:p>
    <w:p w:rsidR="00BA6CB6" w:rsidRDefault="00BA6CB6">
      <w:r>
        <w:t>All the losses occurred can be seen through a frequency-severity map</w:t>
      </w:r>
      <w:r w:rsidR="00D669DB">
        <w:t>. Various researchers have come up with a doctrine to adopt a statistical method for recurrent risk and a scenario analysis method for rare risks.</w:t>
      </w:r>
      <w:r w:rsidR="009A4396">
        <w:t xml:space="preserve">  From history of </w:t>
      </w:r>
      <w:proofErr w:type="spellStart"/>
      <w:r w:rsidR="009A4396">
        <w:t>OpRisk</w:t>
      </w:r>
      <w:proofErr w:type="spellEnd"/>
      <w:r w:rsidR="009A4396">
        <w:t xml:space="preserve">, it is evident that large events are rare and contribute to most significant parts; for e.g. ORX reports that less than 0.5% of the events </w:t>
      </w:r>
      <w:r w:rsidR="000E6245">
        <w:t>contribute to</w:t>
      </w:r>
      <w:r w:rsidR="009A4396">
        <w:t xml:space="preserve"> more than 75% of total loss amounts. </w:t>
      </w:r>
      <w:r w:rsidR="00DC37D1">
        <w:t xml:space="preserve">Potential losses due to low severity and high/medium frequency can be addressed by statistical models for example we can use LDA (loss distribution approach). In fact, frequent losses can be validly modelled by a statistical law. </w:t>
      </w:r>
      <w:r w:rsidR="00750DE7">
        <w:t>As far as high severity and low frequency risks are concerned, those can be addressed through the development of probabilistic scenarios based on analysis of the loss generation mechanism</w:t>
      </w:r>
      <w:r w:rsidR="00B85FE9">
        <w:t>.</w:t>
      </w:r>
      <w:bookmarkStart w:id="0" w:name="_GoBack"/>
      <w:bookmarkEnd w:id="0"/>
    </w:p>
    <w:sectPr w:rsidR="00BA6CB6" w:rsidSect="002956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66D"/>
    <w:rsid w:val="000E6245"/>
    <w:rsid w:val="0029566D"/>
    <w:rsid w:val="00750DE7"/>
    <w:rsid w:val="009A4396"/>
    <w:rsid w:val="009F276E"/>
    <w:rsid w:val="00B85FE9"/>
    <w:rsid w:val="00B92EB7"/>
    <w:rsid w:val="00BA6CB6"/>
    <w:rsid w:val="00D669DB"/>
    <w:rsid w:val="00DC3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7DECD"/>
  <w15:chartTrackingRefBased/>
  <w15:docId w15:val="{A90A271C-908F-4450-B1EF-95FDFA756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Sahu</dc:creator>
  <cp:keywords/>
  <dc:description/>
  <cp:lastModifiedBy>Narendra Sahu</cp:lastModifiedBy>
  <cp:revision>2</cp:revision>
  <dcterms:created xsi:type="dcterms:W3CDTF">2019-11-18T15:42:00Z</dcterms:created>
  <dcterms:modified xsi:type="dcterms:W3CDTF">2019-11-19T04:06:00Z</dcterms:modified>
</cp:coreProperties>
</file>