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416196" w14:textId="0D91B8B3" w:rsidR="0084562F" w:rsidRPr="00C62050" w:rsidRDefault="0084562F" w:rsidP="00C62050">
      <w:pPr>
        <w:pStyle w:val="Heading1"/>
        <w:keepNext w:val="0"/>
        <w:keepLines w:val="0"/>
        <w:widowControl w:val="0"/>
        <w:shd w:val="clear" w:color="auto" w:fill="auto"/>
        <w:spacing w:before="240" w:after="240" w:line="240" w:lineRule="auto"/>
        <w:jc w:val="both"/>
        <w:rPr>
          <w:rFonts w:eastAsia="Calibri" w:cs="Arial"/>
          <w:color w:val="7F7F7F" w:themeColor="text1" w:themeTint="80"/>
          <w:kern w:val="32"/>
          <w:sz w:val="32"/>
          <w:szCs w:val="32"/>
          <w:lang w:val="en-IN"/>
        </w:rPr>
      </w:pPr>
      <w:r w:rsidRPr="00C62050">
        <w:rPr>
          <w:rFonts w:ascii="Arial" w:eastAsia="Calibri" w:hAnsi="Arial" w:cs="Arial"/>
          <w:color w:val="7F7F7F" w:themeColor="text1" w:themeTint="80"/>
          <w:kern w:val="32"/>
          <w:sz w:val="32"/>
          <w:szCs w:val="32"/>
          <w:lang w:val="en-IN"/>
        </w:rPr>
        <w:t>Background to IFRS 9</w:t>
      </w:r>
    </w:p>
    <w:p w14:paraId="2449AB55" w14:textId="162BBBE9" w:rsidR="0084562F" w:rsidRDefault="0084562F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IFRS 9 is a new </w:t>
      </w:r>
      <w:r w:rsidR="00342276">
        <w:rPr>
          <w:rFonts w:ascii="Arial" w:hAnsi="Arial" w:cs="Arial"/>
        </w:rPr>
        <w:t>accounting standard</w:t>
      </w:r>
      <w:r w:rsidR="00FC4EC3">
        <w:rPr>
          <w:rFonts w:ascii="Arial" w:hAnsi="Arial" w:cs="Arial"/>
        </w:rPr>
        <w:t>,</w:t>
      </w:r>
      <w:r w:rsidR="00342276">
        <w:rPr>
          <w:rFonts w:ascii="Arial" w:hAnsi="Arial" w:cs="Arial"/>
        </w:rPr>
        <w:t xml:space="preserve"> adopted by banking regulators with effect from 1 January 2018</w:t>
      </w:r>
      <w:r w:rsidR="00FC4EC3">
        <w:rPr>
          <w:rFonts w:ascii="Arial" w:hAnsi="Arial" w:cs="Arial"/>
        </w:rPr>
        <w:t>,</w:t>
      </w:r>
      <w:r w:rsidR="00342276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sets the standards required for the management of the bank’s impairment process. “Expected Credit Loss” (ECL) is effectively </w:t>
      </w:r>
      <w:r w:rsidR="006603C7">
        <w:rPr>
          <w:rFonts w:ascii="Arial" w:hAnsi="Arial" w:cs="Arial"/>
        </w:rPr>
        <w:t xml:space="preserve">a </w:t>
      </w:r>
      <w:r>
        <w:rPr>
          <w:rFonts w:ascii="Arial" w:hAnsi="Arial" w:cs="Arial"/>
        </w:rPr>
        <w:t>new term for what was previously known as impairment or credit provisions under IAS 39. In respect of the lending book that is already in default (</w:t>
      </w:r>
      <w:proofErr w:type="spellStart"/>
      <w:r>
        <w:rPr>
          <w:rFonts w:ascii="Arial" w:hAnsi="Arial" w:cs="Arial"/>
        </w:rPr>
        <w:t>ie</w:t>
      </w:r>
      <w:proofErr w:type="spellEnd"/>
      <w:r>
        <w:rPr>
          <w:rFonts w:ascii="Arial" w:hAnsi="Arial" w:cs="Arial"/>
        </w:rPr>
        <w:t xml:space="preserve"> +90 days-past-due) the calculation of ECL is broadly equivalent to the old IAS 39 </w:t>
      </w:r>
      <w:r w:rsidRPr="00D1038B">
        <w:rPr>
          <w:rFonts w:ascii="Arial" w:hAnsi="Arial" w:cs="Arial"/>
          <w:i/>
          <w:iCs/>
        </w:rPr>
        <w:t>specific</w:t>
      </w:r>
      <w:r>
        <w:rPr>
          <w:rFonts w:ascii="Arial" w:hAnsi="Arial" w:cs="Arial"/>
        </w:rPr>
        <w:t xml:space="preserve"> impairment calculation, however the key difference is in respect of the performing book. IFRS 9 requires banks to categorise their performing book into either stage 1 or stage 2 and calculat</w:t>
      </w:r>
      <w:r w:rsidR="00D26048">
        <w:rPr>
          <w:rFonts w:ascii="Arial" w:hAnsi="Arial" w:cs="Arial"/>
        </w:rPr>
        <w:t>e a</w:t>
      </w:r>
      <w:r>
        <w:rPr>
          <w:rFonts w:ascii="Arial" w:hAnsi="Arial" w:cs="Arial"/>
        </w:rPr>
        <w:t xml:space="preserve"> credit provision (ECL) on </w:t>
      </w:r>
      <w:r w:rsidR="00D26048">
        <w:rPr>
          <w:rFonts w:ascii="Arial" w:hAnsi="Arial" w:cs="Arial"/>
        </w:rPr>
        <w:t xml:space="preserve">each facility, this replaces the IAS 39 concept of </w:t>
      </w:r>
      <w:r w:rsidR="00D26048" w:rsidRPr="00D1038B">
        <w:rPr>
          <w:rFonts w:ascii="Arial" w:hAnsi="Arial" w:cs="Arial"/>
          <w:i/>
          <w:iCs/>
        </w:rPr>
        <w:t>general</w:t>
      </w:r>
      <w:r w:rsidR="00D26048">
        <w:rPr>
          <w:rFonts w:ascii="Arial" w:hAnsi="Arial" w:cs="Arial"/>
        </w:rPr>
        <w:t xml:space="preserve"> provision</w:t>
      </w:r>
      <w:r w:rsidR="00AD379A">
        <w:rPr>
          <w:rFonts w:ascii="Arial" w:hAnsi="Arial" w:cs="Arial"/>
        </w:rPr>
        <w:t>.</w:t>
      </w:r>
    </w:p>
    <w:p w14:paraId="393EAEAD" w14:textId="1A648C4D" w:rsidR="0084562F" w:rsidRDefault="0084562F">
      <w:pPr>
        <w:spacing w:before="120" w:after="120"/>
        <w:jc w:val="both"/>
        <w:rPr>
          <w:rFonts w:ascii="Arial" w:hAnsi="Arial" w:cs="Arial"/>
        </w:rPr>
      </w:pPr>
      <w:r w:rsidRPr="0084562F">
        <w:rPr>
          <w:rFonts w:ascii="Arial" w:hAnsi="Arial" w:cs="Arial"/>
        </w:rPr>
        <w:t>Stage 1</w:t>
      </w:r>
      <w:r>
        <w:rPr>
          <w:rFonts w:ascii="Arial" w:hAnsi="Arial" w:cs="Arial"/>
        </w:rPr>
        <w:t xml:space="preserve"> represents the portion of the portfolio that is performing normally whereas stage </w:t>
      </w:r>
      <w:r w:rsidRPr="0084562F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</w:t>
      </w:r>
      <w:r w:rsidR="00342276">
        <w:rPr>
          <w:rFonts w:ascii="Arial" w:hAnsi="Arial" w:cs="Arial"/>
        </w:rPr>
        <w:t>facilities</w:t>
      </w:r>
      <w:r>
        <w:rPr>
          <w:rFonts w:ascii="Arial" w:hAnsi="Arial" w:cs="Arial"/>
        </w:rPr>
        <w:t xml:space="preserve"> can be identified using “staging rules”, as having signs of a </w:t>
      </w:r>
      <w:r w:rsidRPr="00D1038B">
        <w:rPr>
          <w:rFonts w:ascii="Arial" w:hAnsi="Arial" w:cs="Arial"/>
          <w:i/>
          <w:iCs/>
        </w:rPr>
        <w:t>Significant Increase of Credit Risk</w:t>
      </w:r>
      <w:r w:rsidRPr="00D02F0E">
        <w:rPr>
          <w:rFonts w:ascii="Arial" w:hAnsi="Arial" w:cs="Arial"/>
        </w:rPr>
        <w:t xml:space="preserve"> (SICR</w:t>
      </w:r>
      <w:r>
        <w:rPr>
          <w:rFonts w:ascii="Arial" w:hAnsi="Arial" w:cs="Arial"/>
        </w:rPr>
        <w:t>), and under IFRS 9 regulations</w:t>
      </w:r>
      <w:r w:rsidR="00342276">
        <w:rPr>
          <w:rFonts w:ascii="Arial" w:hAnsi="Arial" w:cs="Arial"/>
        </w:rPr>
        <w:t xml:space="preserve"> the facilities of</w:t>
      </w:r>
      <w:r>
        <w:rPr>
          <w:rFonts w:ascii="Arial" w:hAnsi="Arial" w:cs="Arial"/>
        </w:rPr>
        <w:t xml:space="preserve"> stage 2 customers will attract higher ECL than </w:t>
      </w:r>
      <w:r w:rsidR="006603C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tage 1 </w:t>
      </w:r>
      <w:r w:rsidR="00342276">
        <w:rPr>
          <w:rFonts w:ascii="Arial" w:hAnsi="Arial" w:cs="Arial"/>
        </w:rPr>
        <w:t>facilities</w:t>
      </w:r>
      <w:r>
        <w:rPr>
          <w:rFonts w:ascii="Arial" w:hAnsi="Arial" w:cs="Arial"/>
        </w:rPr>
        <w:t xml:space="preserve">. </w:t>
      </w:r>
      <w:r w:rsidRPr="0084562F">
        <w:rPr>
          <w:rFonts w:ascii="Arial" w:hAnsi="Arial" w:cs="Arial"/>
        </w:rPr>
        <w:t>Stage 3</w:t>
      </w:r>
      <w:r>
        <w:rPr>
          <w:rFonts w:ascii="Arial" w:hAnsi="Arial" w:cs="Arial"/>
        </w:rPr>
        <w:t xml:space="preserve"> customers are those that are in default, typically 90 days-past-due. Staging Rules play an important role in the IFRS 9 ECL process and need to be clearly defined by banks and embedded </w:t>
      </w:r>
      <w:r w:rsidR="00342276">
        <w:rPr>
          <w:rFonts w:ascii="Arial" w:hAnsi="Arial" w:cs="Arial"/>
        </w:rPr>
        <w:t>within</w:t>
      </w:r>
      <w:r>
        <w:rPr>
          <w:rFonts w:ascii="Arial" w:hAnsi="Arial" w:cs="Arial"/>
        </w:rPr>
        <w:t xml:space="preserve"> </w:t>
      </w:r>
      <w:r w:rsidR="00342276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olicy and </w:t>
      </w:r>
      <w:r w:rsidR="00342276">
        <w:rPr>
          <w:rFonts w:ascii="Arial" w:hAnsi="Arial" w:cs="Arial"/>
        </w:rPr>
        <w:t>P</w:t>
      </w:r>
      <w:r>
        <w:rPr>
          <w:rFonts w:ascii="Arial" w:hAnsi="Arial" w:cs="Arial"/>
        </w:rPr>
        <w:t>rocedures. The adherence to the staging rules and the reporting thereon will be the subject of scrutiny during the bank’s audit process.</w:t>
      </w:r>
      <w:r w:rsidRPr="001E187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IFRS 9 requires that banks adopt appropriate staging rules </w:t>
      </w:r>
      <w:r w:rsidR="003C39C6">
        <w:rPr>
          <w:rFonts w:ascii="Arial" w:hAnsi="Arial" w:cs="Arial"/>
        </w:rPr>
        <w:t>governing the catagorisation of</w:t>
      </w:r>
      <w:r>
        <w:rPr>
          <w:rFonts w:ascii="Arial" w:hAnsi="Arial" w:cs="Arial"/>
        </w:rPr>
        <w:t xml:space="preserve"> customers as stage 2.</w:t>
      </w:r>
    </w:p>
    <w:p w14:paraId="34BFF1AC" w14:textId="77777777" w:rsidR="0084562F" w:rsidRDefault="0084562F" w:rsidP="0084562F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972CEE">
        <w:rPr>
          <w:rFonts w:ascii="Arial" w:hAnsi="Arial" w:cs="Arial"/>
        </w:rPr>
        <w:t>tage 2</w:t>
      </w:r>
      <w:r>
        <w:rPr>
          <w:rFonts w:ascii="Arial" w:hAnsi="Arial" w:cs="Arial"/>
        </w:rPr>
        <w:t xml:space="preserve"> identification can be achieved by either:</w:t>
      </w:r>
    </w:p>
    <w:p w14:paraId="42A7309F" w14:textId="77777777" w:rsidR="0084562F" w:rsidRDefault="0084562F" w:rsidP="0084562F">
      <w:pPr>
        <w:pStyle w:val="ListParagraph"/>
        <w:numPr>
          <w:ilvl w:val="0"/>
          <w:numId w:val="28"/>
        </w:numPr>
        <w:spacing w:before="120" w:after="120"/>
        <w:rPr>
          <w:rFonts w:ascii="Arial" w:hAnsi="Arial" w:cs="Arial"/>
        </w:rPr>
      </w:pPr>
      <w:r w:rsidRPr="005531F9">
        <w:rPr>
          <w:rFonts w:ascii="Arial" w:hAnsi="Arial" w:cs="Arial"/>
          <w:b/>
          <w:bCs/>
        </w:rPr>
        <w:t>Collective Assessment</w:t>
      </w:r>
      <w:r w:rsidRPr="005531F9">
        <w:rPr>
          <w:rFonts w:ascii="Arial" w:hAnsi="Arial" w:cs="Arial"/>
        </w:rPr>
        <w:t>, where defined rules are applied at portfolio level, suitable for portfolios with high number of customers with smaller exposures, and</w:t>
      </w:r>
    </w:p>
    <w:p w14:paraId="6E70C062" w14:textId="77777777" w:rsidR="006603C7" w:rsidRPr="005531F9" w:rsidRDefault="006603C7" w:rsidP="00C62050">
      <w:pPr>
        <w:pStyle w:val="ListParagraph"/>
        <w:spacing w:before="120" w:after="120"/>
        <w:ind w:left="1080"/>
        <w:rPr>
          <w:rFonts w:ascii="Arial" w:hAnsi="Arial" w:cs="Arial"/>
        </w:rPr>
      </w:pPr>
    </w:p>
    <w:p w14:paraId="42A95889" w14:textId="50A67A0D" w:rsidR="006603C7" w:rsidRDefault="0084562F" w:rsidP="006603C7">
      <w:pPr>
        <w:pStyle w:val="ListParagraph"/>
        <w:numPr>
          <w:ilvl w:val="0"/>
          <w:numId w:val="28"/>
        </w:numPr>
        <w:spacing w:before="120" w:after="120"/>
        <w:rPr>
          <w:rFonts w:ascii="Arial" w:hAnsi="Arial" w:cs="Arial"/>
        </w:rPr>
      </w:pPr>
      <w:r w:rsidRPr="005531F9">
        <w:rPr>
          <w:rFonts w:ascii="Arial" w:hAnsi="Arial" w:cs="Arial"/>
          <w:b/>
          <w:bCs/>
        </w:rPr>
        <w:t>Individual Assessment</w:t>
      </w:r>
      <w:r>
        <w:rPr>
          <w:rFonts w:ascii="Arial" w:hAnsi="Arial" w:cs="Arial"/>
        </w:rPr>
        <w:t xml:space="preserve">, where case-by-case evaluation is performed with the aim of identifying </w:t>
      </w:r>
      <w:r>
        <w:rPr>
          <w:rFonts w:ascii="Arial" w:hAnsi="Arial" w:cs="Arial"/>
          <w:i/>
          <w:iCs/>
        </w:rPr>
        <w:t>significant increase in credit risk</w:t>
      </w:r>
      <w:r>
        <w:rPr>
          <w:rFonts w:ascii="Arial" w:hAnsi="Arial" w:cs="Arial"/>
        </w:rPr>
        <w:t xml:space="preserve">, suitable for selected, material facilities. </w:t>
      </w:r>
    </w:p>
    <w:p w14:paraId="0F60BF25" w14:textId="32EF2F00" w:rsidR="0084562F" w:rsidRDefault="0084562F" w:rsidP="0084562F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>QNB Group Credit has developed a set of staging rules with engagement from E</w:t>
      </w:r>
      <w:r w:rsidR="003C39C6">
        <w:rPr>
          <w:rFonts w:ascii="Arial" w:hAnsi="Arial" w:cs="Arial"/>
        </w:rPr>
        <w:t>rnst &amp; Young</w:t>
      </w:r>
      <w:r w:rsidR="00D26048">
        <w:rPr>
          <w:rFonts w:ascii="Arial" w:hAnsi="Arial" w:cs="Arial"/>
        </w:rPr>
        <w:t xml:space="preserve"> (EY)</w:t>
      </w:r>
      <w:r>
        <w:rPr>
          <w:rFonts w:ascii="Arial" w:hAnsi="Arial" w:cs="Arial"/>
        </w:rPr>
        <w:t xml:space="preserve"> and supported by Group Risk. Once approved the staging rules will be used in the new ECL calculator (being developed by EY) and will </w:t>
      </w:r>
      <w:r w:rsidR="00AD379A">
        <w:rPr>
          <w:rFonts w:ascii="Arial" w:hAnsi="Arial" w:cs="Arial"/>
        </w:rPr>
        <w:t>require</w:t>
      </w:r>
      <w:r>
        <w:rPr>
          <w:rFonts w:ascii="Arial" w:hAnsi="Arial" w:cs="Arial"/>
        </w:rPr>
        <w:t xml:space="preserve"> new Credit Policy and Procedures.</w:t>
      </w:r>
    </w:p>
    <w:p w14:paraId="44C3AF56" w14:textId="02ED3727" w:rsidR="00BA7932" w:rsidRPr="00972CEE" w:rsidRDefault="00CE2ECC" w:rsidP="00C62050">
      <w:pPr>
        <w:pStyle w:val="Heading1"/>
        <w:keepNext w:val="0"/>
        <w:keepLines w:val="0"/>
        <w:widowControl w:val="0"/>
        <w:shd w:val="clear" w:color="auto" w:fill="auto"/>
        <w:spacing w:before="240" w:after="240" w:line="240" w:lineRule="auto"/>
        <w:jc w:val="both"/>
        <w:rPr>
          <w:rFonts w:ascii="Arial" w:eastAsia="Calibri" w:hAnsi="Arial" w:cs="Arial"/>
          <w:color w:val="7F7F7F" w:themeColor="text1" w:themeTint="80"/>
          <w:kern w:val="32"/>
          <w:sz w:val="32"/>
          <w:szCs w:val="32"/>
          <w:lang w:val="en-IN"/>
        </w:rPr>
      </w:pPr>
      <w:r w:rsidRPr="00972CEE">
        <w:rPr>
          <w:rFonts w:ascii="Arial" w:eastAsia="Calibri" w:hAnsi="Arial" w:cs="Arial"/>
          <w:color w:val="7F7F7F" w:themeColor="text1" w:themeTint="80"/>
          <w:kern w:val="32"/>
          <w:sz w:val="32"/>
          <w:szCs w:val="32"/>
          <w:lang w:val="en-IN"/>
        </w:rPr>
        <w:t>Staging Rules</w:t>
      </w:r>
    </w:p>
    <w:p w14:paraId="759410A8" w14:textId="021D23B7" w:rsidR="0084222B" w:rsidRDefault="0084222B">
      <w:pPr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calculation of ECL will </w:t>
      </w:r>
      <w:r w:rsidR="00880002">
        <w:rPr>
          <w:rFonts w:ascii="Arial" w:hAnsi="Arial" w:cs="Arial"/>
        </w:rPr>
        <w:t xml:space="preserve">be performed </w:t>
      </w:r>
      <w:r w:rsidR="001E1874">
        <w:rPr>
          <w:rFonts w:ascii="Arial" w:hAnsi="Arial" w:cs="Arial"/>
        </w:rPr>
        <w:t xml:space="preserve">at QNB </w:t>
      </w:r>
      <w:r w:rsidR="00880002">
        <w:rPr>
          <w:rFonts w:ascii="Arial" w:hAnsi="Arial" w:cs="Arial"/>
        </w:rPr>
        <w:t>Group</w:t>
      </w:r>
      <w:r w:rsidR="001E1874">
        <w:rPr>
          <w:rFonts w:ascii="Arial" w:hAnsi="Arial" w:cs="Arial"/>
        </w:rPr>
        <w:t>-</w:t>
      </w:r>
      <w:r w:rsidR="00281C10">
        <w:rPr>
          <w:rFonts w:ascii="Arial" w:hAnsi="Arial" w:cs="Arial"/>
        </w:rPr>
        <w:t>level,</w:t>
      </w:r>
      <w:r>
        <w:rPr>
          <w:rFonts w:ascii="Arial" w:hAnsi="Arial" w:cs="Arial"/>
        </w:rPr>
        <w:t xml:space="preserve"> </w:t>
      </w:r>
      <w:r w:rsidR="00E958B0">
        <w:rPr>
          <w:rFonts w:ascii="Arial" w:hAnsi="Arial" w:cs="Arial"/>
        </w:rPr>
        <w:t xml:space="preserve">with </w:t>
      </w:r>
      <w:r>
        <w:rPr>
          <w:rFonts w:ascii="Arial" w:hAnsi="Arial" w:cs="Arial"/>
        </w:rPr>
        <w:t xml:space="preserve">all </w:t>
      </w:r>
      <w:r w:rsidR="00880002">
        <w:rPr>
          <w:rFonts w:ascii="Arial" w:hAnsi="Arial" w:cs="Arial"/>
        </w:rPr>
        <w:t>Int</w:t>
      </w:r>
      <w:r w:rsidR="0084562F">
        <w:rPr>
          <w:rFonts w:ascii="Arial" w:hAnsi="Arial" w:cs="Arial"/>
        </w:rPr>
        <w:t>ernational</w:t>
      </w:r>
      <w:r w:rsidR="0088000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branches and managed subsidiaries</w:t>
      </w:r>
      <w:r w:rsidR="00281C10">
        <w:rPr>
          <w:rFonts w:ascii="Arial" w:hAnsi="Arial" w:cs="Arial"/>
        </w:rPr>
        <w:t xml:space="preserve"> adopt</w:t>
      </w:r>
      <w:r w:rsidR="00E958B0">
        <w:rPr>
          <w:rFonts w:ascii="Arial" w:hAnsi="Arial" w:cs="Arial"/>
        </w:rPr>
        <w:t>ing</w:t>
      </w:r>
      <w:r w:rsidR="00281C10">
        <w:rPr>
          <w:rFonts w:ascii="Arial" w:hAnsi="Arial" w:cs="Arial"/>
        </w:rPr>
        <w:t xml:space="preserve"> Group processes as appropriate,</w:t>
      </w:r>
      <w:r w:rsidR="00D1414B">
        <w:rPr>
          <w:rStyle w:val="FootnoteReference"/>
          <w:rFonts w:ascii="Arial" w:hAnsi="Arial" w:cs="Arial"/>
        </w:rPr>
        <w:footnoteReference w:id="2"/>
      </w:r>
      <w:r w:rsidR="00281C10">
        <w:rPr>
          <w:rFonts w:ascii="Arial" w:hAnsi="Arial" w:cs="Arial"/>
        </w:rPr>
        <w:t xml:space="preserve"> however</w:t>
      </w:r>
      <w:r>
        <w:rPr>
          <w:rFonts w:ascii="Arial" w:hAnsi="Arial" w:cs="Arial"/>
        </w:rPr>
        <w:t xml:space="preserve"> </w:t>
      </w:r>
      <w:r w:rsidR="00281C10">
        <w:rPr>
          <w:rFonts w:ascii="Arial" w:hAnsi="Arial" w:cs="Arial"/>
        </w:rPr>
        <w:t xml:space="preserve">QNB </w:t>
      </w:r>
      <w:r>
        <w:rPr>
          <w:rFonts w:ascii="Arial" w:hAnsi="Arial" w:cs="Arial"/>
        </w:rPr>
        <w:t xml:space="preserve">Al </w:t>
      </w:r>
      <w:proofErr w:type="spellStart"/>
      <w:r>
        <w:rPr>
          <w:rFonts w:ascii="Arial" w:hAnsi="Arial" w:cs="Arial"/>
        </w:rPr>
        <w:t>Ahli</w:t>
      </w:r>
      <w:proofErr w:type="spellEnd"/>
      <w:r w:rsidR="0084562F">
        <w:rPr>
          <w:rFonts w:ascii="Arial" w:hAnsi="Arial" w:cs="Arial"/>
        </w:rPr>
        <w:t>,</w:t>
      </w:r>
      <w:r w:rsidR="0088000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QNB Finansbank </w:t>
      </w:r>
      <w:r w:rsidR="00880002">
        <w:rPr>
          <w:rFonts w:ascii="Arial" w:hAnsi="Arial" w:cs="Arial"/>
        </w:rPr>
        <w:t xml:space="preserve">and QNB Indonesia </w:t>
      </w:r>
      <w:r>
        <w:rPr>
          <w:rFonts w:ascii="Arial" w:hAnsi="Arial" w:cs="Arial"/>
        </w:rPr>
        <w:t xml:space="preserve">will run independent ECL assessments based on their </w:t>
      </w:r>
      <w:r w:rsidR="008A7885">
        <w:rPr>
          <w:rFonts w:ascii="Arial" w:hAnsi="Arial" w:cs="Arial"/>
        </w:rPr>
        <w:t xml:space="preserve">locally </w:t>
      </w:r>
      <w:r>
        <w:rPr>
          <w:rFonts w:ascii="Arial" w:hAnsi="Arial" w:cs="Arial"/>
        </w:rPr>
        <w:t>approved IFRS 9</w:t>
      </w:r>
      <w:r w:rsidR="00281C10">
        <w:rPr>
          <w:rFonts w:ascii="Arial" w:hAnsi="Arial" w:cs="Arial"/>
        </w:rPr>
        <w:t xml:space="preserve"> policies and rules.</w:t>
      </w:r>
      <w:r w:rsidR="008A7885">
        <w:rPr>
          <w:rFonts w:ascii="Arial" w:hAnsi="Arial" w:cs="Arial"/>
        </w:rPr>
        <w:t xml:space="preserve"> Alignment with the Group standards </w:t>
      </w:r>
      <w:r w:rsidR="0084562F">
        <w:rPr>
          <w:rFonts w:ascii="Arial" w:hAnsi="Arial" w:cs="Arial"/>
        </w:rPr>
        <w:t>is</w:t>
      </w:r>
      <w:r w:rsidR="008A7885">
        <w:rPr>
          <w:rFonts w:ascii="Arial" w:hAnsi="Arial" w:cs="Arial"/>
        </w:rPr>
        <w:t xml:space="preserve"> encouraged, to the </w:t>
      </w:r>
      <w:r w:rsidR="00C43EAE">
        <w:rPr>
          <w:rFonts w:ascii="Arial" w:hAnsi="Arial" w:cs="Arial"/>
        </w:rPr>
        <w:t>extent</w:t>
      </w:r>
      <w:r w:rsidR="006603C7">
        <w:rPr>
          <w:rFonts w:ascii="Arial" w:hAnsi="Arial" w:cs="Arial"/>
        </w:rPr>
        <w:t xml:space="preserve"> possible</w:t>
      </w:r>
      <w:r w:rsidR="008A7885">
        <w:rPr>
          <w:rFonts w:ascii="Arial" w:hAnsi="Arial" w:cs="Arial"/>
        </w:rPr>
        <w:t xml:space="preserve">, and is </w:t>
      </w:r>
      <w:r w:rsidR="00C43EAE">
        <w:rPr>
          <w:rFonts w:ascii="Arial" w:hAnsi="Arial" w:cs="Arial"/>
        </w:rPr>
        <w:t>with</w:t>
      </w:r>
      <w:r w:rsidR="008A7885">
        <w:rPr>
          <w:rFonts w:ascii="Arial" w:hAnsi="Arial" w:cs="Arial"/>
        </w:rPr>
        <w:t xml:space="preserve">in scope of the overall implementation that will consider adapted rules subject to local Regulatory and credit practices.   </w:t>
      </w:r>
      <w:r w:rsidR="00880002">
        <w:rPr>
          <w:rFonts w:ascii="Arial" w:hAnsi="Arial" w:cs="Arial"/>
        </w:rPr>
        <w:t xml:space="preserve"> </w:t>
      </w:r>
    </w:p>
    <w:p w14:paraId="65F85AA5" w14:textId="115417FD" w:rsidR="001A6A30" w:rsidRDefault="001A6A30">
      <w:pPr>
        <w:rPr>
          <w:rFonts w:ascii="Arial" w:eastAsiaTheme="majorEastAsia" w:hAnsi="Arial" w:cs="Arial"/>
          <w:b/>
          <w:bCs/>
          <w:color w:val="595959" w:themeColor="text1" w:themeTint="A6"/>
          <w:sz w:val="28"/>
          <w:szCs w:val="28"/>
        </w:rPr>
      </w:pPr>
    </w:p>
    <w:p w14:paraId="367EF1ED" w14:textId="77777777" w:rsidR="00172E62" w:rsidRDefault="00172E62">
      <w:pPr>
        <w:rPr>
          <w:rFonts w:ascii="Arial" w:eastAsiaTheme="majorEastAsia" w:hAnsi="Arial" w:cs="Arial"/>
          <w:b/>
          <w:bCs/>
          <w:color w:val="595959" w:themeColor="text1" w:themeTint="A6"/>
          <w:sz w:val="28"/>
          <w:szCs w:val="28"/>
        </w:rPr>
      </w:pPr>
      <w:r>
        <w:rPr>
          <w:rFonts w:ascii="Arial" w:hAnsi="Arial" w:cs="Arial"/>
        </w:rPr>
        <w:br w:type="page"/>
      </w:r>
    </w:p>
    <w:p w14:paraId="49A2E614" w14:textId="41AD756F" w:rsidR="004F5A13" w:rsidRPr="00972CEE" w:rsidRDefault="004F5A13" w:rsidP="004605B7">
      <w:pPr>
        <w:pStyle w:val="Heading1"/>
        <w:keepNext w:val="0"/>
        <w:keepLines w:val="0"/>
        <w:widowControl w:val="0"/>
        <w:numPr>
          <w:ilvl w:val="0"/>
          <w:numId w:val="8"/>
        </w:numPr>
        <w:spacing w:before="240" w:after="240" w:line="240" w:lineRule="auto"/>
        <w:ind w:left="567" w:hanging="567"/>
        <w:jc w:val="both"/>
        <w:rPr>
          <w:rFonts w:ascii="Arial" w:hAnsi="Arial" w:cs="Arial"/>
        </w:rPr>
      </w:pPr>
      <w:r w:rsidRPr="00972CEE">
        <w:rPr>
          <w:rFonts w:ascii="Arial" w:hAnsi="Arial" w:cs="Arial"/>
        </w:rPr>
        <w:lastRenderedPageBreak/>
        <w:t>Non-Retail Portfolio</w:t>
      </w:r>
    </w:p>
    <w:p w14:paraId="0406A6AC" w14:textId="460D070C" w:rsidR="00B05BDF" w:rsidRDefault="00A93D09">
      <w:pPr>
        <w:spacing w:before="120" w:after="120"/>
        <w:jc w:val="both"/>
        <w:rPr>
          <w:rFonts w:ascii="Arial" w:hAnsi="Arial" w:cs="Arial"/>
        </w:rPr>
      </w:pPr>
      <w:r w:rsidRPr="00972CEE">
        <w:rPr>
          <w:rFonts w:ascii="Arial" w:hAnsi="Arial" w:cs="Arial"/>
        </w:rPr>
        <w:t>The</w:t>
      </w:r>
      <w:r w:rsidR="00231DF5">
        <w:rPr>
          <w:rFonts w:ascii="Arial" w:hAnsi="Arial" w:cs="Arial"/>
        </w:rPr>
        <w:t xml:space="preserve"> staging</w:t>
      </w:r>
      <w:r w:rsidRPr="00972CEE">
        <w:rPr>
          <w:rFonts w:ascii="Arial" w:hAnsi="Arial" w:cs="Arial"/>
        </w:rPr>
        <w:t xml:space="preserve"> rules identified in this sub-section are applicable to the </w:t>
      </w:r>
      <w:r w:rsidR="00AD512D">
        <w:rPr>
          <w:rFonts w:ascii="Arial" w:hAnsi="Arial" w:cs="Arial"/>
        </w:rPr>
        <w:t>C</w:t>
      </w:r>
      <w:r w:rsidR="00AD512D" w:rsidRPr="00972CEE">
        <w:rPr>
          <w:rFonts w:ascii="Arial" w:hAnsi="Arial" w:cs="Arial"/>
        </w:rPr>
        <w:t>orporate</w:t>
      </w:r>
      <w:r w:rsidRPr="00972CEE">
        <w:rPr>
          <w:rFonts w:ascii="Arial" w:hAnsi="Arial" w:cs="Arial"/>
        </w:rPr>
        <w:t>, SME and HNWI customer segments of QNB’s credit portfolio</w:t>
      </w:r>
      <w:r w:rsidR="00231DF5">
        <w:rPr>
          <w:rFonts w:ascii="Arial" w:hAnsi="Arial" w:cs="Arial"/>
        </w:rPr>
        <w:t xml:space="preserve"> including</w:t>
      </w:r>
      <w:r w:rsidRPr="00972CEE">
        <w:rPr>
          <w:rFonts w:ascii="Arial" w:hAnsi="Arial" w:cs="Arial"/>
        </w:rPr>
        <w:t xml:space="preserve"> </w:t>
      </w:r>
      <w:r w:rsidR="00AD3256">
        <w:rPr>
          <w:rFonts w:ascii="Arial" w:hAnsi="Arial" w:cs="Arial"/>
        </w:rPr>
        <w:t>B</w:t>
      </w:r>
      <w:r w:rsidR="00C405C9">
        <w:rPr>
          <w:rFonts w:ascii="Arial" w:hAnsi="Arial" w:cs="Arial"/>
        </w:rPr>
        <w:t>ank</w:t>
      </w:r>
      <w:r w:rsidR="00C43EAE">
        <w:rPr>
          <w:rFonts w:ascii="Arial" w:hAnsi="Arial" w:cs="Arial"/>
        </w:rPr>
        <w:t xml:space="preserve"> and</w:t>
      </w:r>
      <w:r w:rsidR="00C405C9">
        <w:rPr>
          <w:rFonts w:ascii="Arial" w:hAnsi="Arial" w:cs="Arial"/>
        </w:rPr>
        <w:t xml:space="preserve"> </w:t>
      </w:r>
      <w:r w:rsidR="00AD3256">
        <w:rPr>
          <w:rFonts w:ascii="Arial" w:hAnsi="Arial" w:cs="Arial"/>
        </w:rPr>
        <w:t>S</w:t>
      </w:r>
      <w:r w:rsidR="00C405C9">
        <w:rPr>
          <w:rFonts w:ascii="Arial" w:hAnsi="Arial" w:cs="Arial"/>
        </w:rPr>
        <w:t>overeign</w:t>
      </w:r>
      <w:r w:rsidR="00231DF5">
        <w:rPr>
          <w:rFonts w:ascii="Arial" w:hAnsi="Arial" w:cs="Arial"/>
        </w:rPr>
        <w:t xml:space="preserve"> exposures</w:t>
      </w:r>
      <w:r w:rsidR="00C405C9">
        <w:rPr>
          <w:rFonts w:ascii="Arial" w:hAnsi="Arial" w:cs="Arial"/>
        </w:rPr>
        <w:t xml:space="preserve">. </w:t>
      </w:r>
    </w:p>
    <w:p w14:paraId="7BEDA3C0" w14:textId="6D7B9130" w:rsidR="00A93D09" w:rsidRPr="00972CEE" w:rsidRDefault="00C43EAE" w:rsidP="004605B7">
      <w:pPr>
        <w:pStyle w:val="Heading2"/>
        <w:keepNext w:val="0"/>
        <w:keepLines w:val="0"/>
        <w:widowControl w:val="0"/>
        <w:spacing w:before="240" w:after="240" w:line="240" w:lineRule="auto"/>
        <w:ind w:left="567" w:hanging="567"/>
        <w:jc w:val="both"/>
        <w:rPr>
          <w:rFonts w:eastAsia="Calibri" w:cs="Arial"/>
          <w:lang w:val="en-IN"/>
        </w:rPr>
      </w:pPr>
      <w:bookmarkStart w:id="0" w:name="_Toc476580748"/>
      <w:r>
        <w:rPr>
          <w:rFonts w:eastAsia="Calibri" w:cs="Arial"/>
          <w:lang w:val="en-IN"/>
        </w:rPr>
        <w:t>Rule #1: 30+ Days Past Due</w:t>
      </w:r>
    </w:p>
    <w:bookmarkEnd w:id="0"/>
    <w:p w14:paraId="129B1845" w14:textId="4C1219CA" w:rsidR="00AE5E61" w:rsidRPr="00C62050" w:rsidRDefault="00F24789">
      <w:pPr>
        <w:spacing w:before="120" w:after="120"/>
        <w:jc w:val="both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>30</w:t>
      </w:r>
      <w:r w:rsidR="0014355F" w:rsidRPr="00C62050">
        <w:rPr>
          <w:rFonts w:ascii="Arial" w:hAnsi="Arial" w:cs="Arial"/>
          <w:szCs w:val="20"/>
        </w:rPr>
        <w:t xml:space="preserve">+ DPD </w:t>
      </w:r>
      <w:r w:rsidR="004951B6" w:rsidRPr="00C62050">
        <w:rPr>
          <w:rFonts w:ascii="Arial" w:hAnsi="Arial" w:cs="Arial"/>
          <w:szCs w:val="20"/>
        </w:rPr>
        <w:t>i</w:t>
      </w:r>
      <w:r w:rsidRPr="00C62050">
        <w:rPr>
          <w:rFonts w:ascii="Arial" w:hAnsi="Arial" w:cs="Arial"/>
          <w:szCs w:val="20"/>
        </w:rPr>
        <w:t xml:space="preserve">s a primary </w:t>
      </w:r>
      <w:r w:rsidR="00C43EAE" w:rsidRPr="00C62050">
        <w:rPr>
          <w:rFonts w:ascii="Arial" w:hAnsi="Arial" w:cs="Arial"/>
          <w:szCs w:val="20"/>
        </w:rPr>
        <w:t>flag</w:t>
      </w:r>
      <w:r w:rsidRPr="00C62050">
        <w:rPr>
          <w:rFonts w:ascii="Arial" w:hAnsi="Arial" w:cs="Arial"/>
          <w:szCs w:val="20"/>
        </w:rPr>
        <w:t xml:space="preserve"> </w:t>
      </w:r>
      <w:r w:rsidR="00C43EAE" w:rsidRPr="00C62050">
        <w:rPr>
          <w:rFonts w:ascii="Arial" w:hAnsi="Arial" w:cs="Arial"/>
          <w:szCs w:val="20"/>
        </w:rPr>
        <w:t xml:space="preserve">(an internal trigger) </w:t>
      </w:r>
      <w:r w:rsidR="00E37E3E" w:rsidRPr="00C62050">
        <w:rPr>
          <w:rFonts w:ascii="Arial" w:hAnsi="Arial" w:cs="Arial"/>
          <w:szCs w:val="20"/>
        </w:rPr>
        <w:t xml:space="preserve">that </w:t>
      </w:r>
      <w:r w:rsidR="004951B6" w:rsidRPr="00C62050">
        <w:rPr>
          <w:rFonts w:ascii="Arial" w:hAnsi="Arial" w:cs="Arial"/>
          <w:szCs w:val="20"/>
        </w:rPr>
        <w:t>will</w:t>
      </w:r>
      <w:r w:rsidR="00342276">
        <w:rPr>
          <w:rFonts w:ascii="Arial" w:hAnsi="Arial" w:cs="Arial"/>
          <w:szCs w:val="20"/>
        </w:rPr>
        <w:t xml:space="preserve"> automatically</w:t>
      </w:r>
      <w:r w:rsidR="00E37E3E" w:rsidRPr="00C62050">
        <w:rPr>
          <w:rFonts w:ascii="Arial" w:hAnsi="Arial" w:cs="Arial"/>
          <w:szCs w:val="20"/>
        </w:rPr>
        <w:t xml:space="preserve"> </w:t>
      </w:r>
      <w:r w:rsidRPr="00C62050">
        <w:rPr>
          <w:rFonts w:ascii="Arial" w:hAnsi="Arial" w:cs="Arial"/>
          <w:szCs w:val="20"/>
        </w:rPr>
        <w:t xml:space="preserve">move </w:t>
      </w:r>
      <w:r w:rsidR="00C43EAE" w:rsidRPr="00C62050">
        <w:rPr>
          <w:rFonts w:ascii="Arial" w:hAnsi="Arial" w:cs="Arial"/>
          <w:szCs w:val="20"/>
        </w:rPr>
        <w:t>facilities</w:t>
      </w:r>
      <w:r w:rsidRPr="00C62050">
        <w:rPr>
          <w:rFonts w:ascii="Arial" w:hAnsi="Arial" w:cs="Arial"/>
          <w:szCs w:val="20"/>
        </w:rPr>
        <w:t xml:space="preserve"> from Stage 1 to Stage 2</w:t>
      </w:r>
      <w:r w:rsidR="001B6EAF">
        <w:rPr>
          <w:rFonts w:ascii="Arial" w:hAnsi="Arial" w:cs="Arial"/>
          <w:szCs w:val="20"/>
        </w:rPr>
        <w:t xml:space="preserve"> unless there are</w:t>
      </w:r>
      <w:r w:rsidR="004951B6" w:rsidRPr="00C62050">
        <w:rPr>
          <w:rFonts w:ascii="Arial" w:hAnsi="Arial" w:cs="Arial"/>
          <w:szCs w:val="20"/>
        </w:rPr>
        <w:t xml:space="preserve"> good reason</w:t>
      </w:r>
      <w:r w:rsidR="001B6EAF">
        <w:rPr>
          <w:rFonts w:ascii="Arial" w:hAnsi="Arial" w:cs="Arial"/>
          <w:szCs w:val="20"/>
        </w:rPr>
        <w:t>s</w:t>
      </w:r>
      <w:r w:rsidR="00342276">
        <w:rPr>
          <w:rFonts w:ascii="Arial" w:hAnsi="Arial" w:cs="Arial"/>
          <w:szCs w:val="20"/>
        </w:rPr>
        <w:t xml:space="preserve"> to keep the facility</w:t>
      </w:r>
      <w:r w:rsidR="004951B6" w:rsidRPr="00C62050">
        <w:rPr>
          <w:rFonts w:ascii="Arial" w:hAnsi="Arial" w:cs="Arial"/>
          <w:szCs w:val="20"/>
        </w:rPr>
        <w:t xml:space="preserve"> in stage 1</w:t>
      </w:r>
      <w:r w:rsidRPr="00C62050">
        <w:rPr>
          <w:rFonts w:ascii="Arial" w:hAnsi="Arial" w:cs="Arial"/>
          <w:szCs w:val="20"/>
        </w:rPr>
        <w:t>.</w:t>
      </w:r>
      <w:r w:rsidR="00FD2B6C" w:rsidRPr="00C62050">
        <w:rPr>
          <w:rFonts w:ascii="Arial" w:hAnsi="Arial" w:cs="Arial"/>
          <w:szCs w:val="20"/>
        </w:rPr>
        <w:t xml:space="preserve"> </w:t>
      </w:r>
      <w:r w:rsidR="00C43EAE" w:rsidRPr="00C62050">
        <w:rPr>
          <w:rFonts w:ascii="Arial" w:hAnsi="Arial" w:cs="Arial"/>
          <w:szCs w:val="20"/>
        </w:rPr>
        <w:t>Credit Risk may review facilities</w:t>
      </w:r>
      <w:r w:rsidR="00FD2B6C" w:rsidRPr="00C62050">
        <w:rPr>
          <w:rFonts w:ascii="Arial" w:hAnsi="Arial" w:cs="Arial"/>
          <w:szCs w:val="20"/>
        </w:rPr>
        <w:t xml:space="preserve"> that are 30</w:t>
      </w:r>
      <w:r w:rsidR="00C43EAE" w:rsidRPr="00C62050">
        <w:rPr>
          <w:rFonts w:ascii="Arial" w:hAnsi="Arial" w:cs="Arial"/>
          <w:szCs w:val="20"/>
        </w:rPr>
        <w:t>+</w:t>
      </w:r>
      <w:r w:rsidR="00FD2B6C" w:rsidRPr="00C62050">
        <w:rPr>
          <w:rFonts w:ascii="Arial" w:hAnsi="Arial" w:cs="Arial"/>
          <w:szCs w:val="20"/>
        </w:rPr>
        <w:t xml:space="preserve"> DPD</w:t>
      </w:r>
      <w:r w:rsidR="00C43EAE" w:rsidRPr="00C62050">
        <w:rPr>
          <w:rFonts w:ascii="Arial" w:hAnsi="Arial" w:cs="Arial"/>
          <w:szCs w:val="20"/>
        </w:rPr>
        <w:t xml:space="preserve"> and assess such facility</w:t>
      </w:r>
      <w:r w:rsidR="00AE5E61" w:rsidRPr="00C62050">
        <w:rPr>
          <w:rFonts w:ascii="Arial" w:hAnsi="Arial" w:cs="Arial"/>
          <w:szCs w:val="20"/>
        </w:rPr>
        <w:t xml:space="preserve">, </w:t>
      </w:r>
      <w:r w:rsidR="0014355F" w:rsidRPr="00C62050">
        <w:rPr>
          <w:rFonts w:ascii="Arial" w:hAnsi="Arial" w:cs="Arial"/>
          <w:szCs w:val="20"/>
        </w:rPr>
        <w:t xml:space="preserve">with a view to </w:t>
      </w:r>
      <w:r w:rsidR="00FD2B6C" w:rsidRPr="00C62050">
        <w:rPr>
          <w:rFonts w:ascii="Arial" w:hAnsi="Arial" w:cs="Arial"/>
          <w:szCs w:val="20"/>
        </w:rPr>
        <w:t xml:space="preserve">rebut </w:t>
      </w:r>
      <w:r w:rsidR="00C43EAE" w:rsidRPr="00C62050">
        <w:rPr>
          <w:rFonts w:ascii="Arial" w:hAnsi="Arial" w:cs="Arial"/>
          <w:szCs w:val="20"/>
        </w:rPr>
        <w:t>the assumption that there has been a sign</w:t>
      </w:r>
      <w:r w:rsidR="00AE5E61" w:rsidRPr="00C62050">
        <w:rPr>
          <w:rFonts w:ascii="Arial" w:hAnsi="Arial" w:cs="Arial"/>
          <w:szCs w:val="20"/>
        </w:rPr>
        <w:t>ificant increase in credit risk,</w:t>
      </w:r>
      <w:r w:rsidR="00C43EAE" w:rsidRPr="00C62050">
        <w:rPr>
          <w:rFonts w:ascii="Arial" w:hAnsi="Arial" w:cs="Arial"/>
          <w:szCs w:val="20"/>
        </w:rPr>
        <w:t xml:space="preserve"> </w:t>
      </w:r>
      <w:r w:rsidR="00FD2B6C" w:rsidRPr="00C62050">
        <w:rPr>
          <w:rFonts w:ascii="Arial" w:hAnsi="Arial" w:cs="Arial"/>
          <w:szCs w:val="20"/>
        </w:rPr>
        <w:t xml:space="preserve">and </w:t>
      </w:r>
      <w:r w:rsidR="00752A2C" w:rsidRPr="00C62050">
        <w:rPr>
          <w:rFonts w:ascii="Arial" w:hAnsi="Arial" w:cs="Arial"/>
          <w:szCs w:val="20"/>
        </w:rPr>
        <w:t xml:space="preserve">thereby </w:t>
      </w:r>
      <w:r w:rsidR="00FA031D" w:rsidRPr="00C62050">
        <w:rPr>
          <w:rFonts w:ascii="Arial" w:hAnsi="Arial" w:cs="Arial"/>
          <w:szCs w:val="20"/>
        </w:rPr>
        <w:t xml:space="preserve">keep </w:t>
      </w:r>
      <w:r w:rsidR="00C73942" w:rsidRPr="00C62050">
        <w:rPr>
          <w:rFonts w:ascii="Arial" w:hAnsi="Arial" w:cs="Arial"/>
          <w:szCs w:val="20"/>
        </w:rPr>
        <w:t xml:space="preserve">as </w:t>
      </w:r>
      <w:r w:rsidR="00FD2B6C" w:rsidRPr="00C62050">
        <w:rPr>
          <w:rFonts w:ascii="Arial" w:hAnsi="Arial" w:cs="Arial"/>
          <w:szCs w:val="20"/>
        </w:rPr>
        <w:t>Stage 1</w:t>
      </w:r>
      <w:r w:rsidR="0014355F" w:rsidRPr="00C62050">
        <w:rPr>
          <w:rFonts w:ascii="Arial" w:hAnsi="Arial" w:cs="Arial"/>
          <w:szCs w:val="20"/>
        </w:rPr>
        <w:t xml:space="preserve">. </w:t>
      </w:r>
      <w:r w:rsidR="00FA031D" w:rsidRPr="00C62050">
        <w:rPr>
          <w:rFonts w:ascii="Arial" w:hAnsi="Arial" w:cs="Arial"/>
          <w:szCs w:val="20"/>
        </w:rPr>
        <w:t xml:space="preserve">Conversely, if there is no rebuttal then </w:t>
      </w:r>
      <w:r w:rsidR="00AE5E61" w:rsidRPr="00C62050">
        <w:rPr>
          <w:rFonts w:ascii="Arial" w:hAnsi="Arial" w:cs="Arial"/>
          <w:szCs w:val="20"/>
        </w:rPr>
        <w:t>30+ DPD</w:t>
      </w:r>
      <w:r w:rsidR="00FA031D" w:rsidRPr="00C62050">
        <w:rPr>
          <w:rFonts w:ascii="Arial" w:hAnsi="Arial" w:cs="Arial"/>
          <w:szCs w:val="20"/>
        </w:rPr>
        <w:t xml:space="preserve"> facilities will </w:t>
      </w:r>
      <w:r w:rsidR="004006DF" w:rsidRPr="00C62050">
        <w:rPr>
          <w:rFonts w:ascii="Arial" w:hAnsi="Arial" w:cs="Arial"/>
          <w:szCs w:val="20"/>
        </w:rPr>
        <w:t xml:space="preserve">be classified as </w:t>
      </w:r>
      <w:r w:rsidR="00752A2C" w:rsidRPr="00C62050">
        <w:rPr>
          <w:rFonts w:ascii="Arial" w:hAnsi="Arial" w:cs="Arial"/>
          <w:szCs w:val="20"/>
        </w:rPr>
        <w:t xml:space="preserve">Stage </w:t>
      </w:r>
      <w:r w:rsidR="004006DF" w:rsidRPr="00C62050">
        <w:rPr>
          <w:rFonts w:ascii="Arial" w:hAnsi="Arial" w:cs="Arial"/>
          <w:szCs w:val="20"/>
        </w:rPr>
        <w:t>2 (for smaller high-volume facilities which are not material management may cho</w:t>
      </w:r>
      <w:r w:rsidR="001E1874" w:rsidRPr="00C62050">
        <w:rPr>
          <w:rFonts w:ascii="Arial" w:hAnsi="Arial" w:cs="Arial"/>
          <w:szCs w:val="20"/>
        </w:rPr>
        <w:t>o</w:t>
      </w:r>
      <w:r w:rsidR="004006DF" w:rsidRPr="00C62050">
        <w:rPr>
          <w:rFonts w:ascii="Arial" w:hAnsi="Arial" w:cs="Arial"/>
          <w:szCs w:val="20"/>
        </w:rPr>
        <w:t>se not to use the expedient to review and/or rebut e.g. small SME facilities).</w:t>
      </w:r>
      <w:r w:rsidR="00504E0A" w:rsidRPr="00C62050">
        <w:rPr>
          <w:rFonts w:ascii="Arial" w:hAnsi="Arial" w:cs="Arial"/>
          <w:szCs w:val="20"/>
        </w:rPr>
        <w:t xml:space="preserve"> </w:t>
      </w:r>
      <w:r w:rsidR="00AE5E61" w:rsidRPr="00C62050">
        <w:rPr>
          <w:rFonts w:ascii="Arial" w:hAnsi="Arial" w:cs="Arial"/>
          <w:szCs w:val="20"/>
        </w:rPr>
        <w:t xml:space="preserve">Such rebuttals will be done on an individual basis applying discretionary criteria that should be pre-defined and documented as policy. </w:t>
      </w:r>
    </w:p>
    <w:p w14:paraId="5507526C" w14:textId="0F498798" w:rsidR="00752A2C" w:rsidRPr="00C62050" w:rsidRDefault="00BA59F4" w:rsidP="00C62050">
      <w:pPr>
        <w:spacing w:before="120" w:after="120"/>
        <w:jc w:val="both"/>
      </w:pPr>
      <w:r w:rsidRPr="00C62050">
        <w:rPr>
          <w:rFonts w:ascii="Arial" w:hAnsi="Arial" w:cs="Arial"/>
          <w:szCs w:val="20"/>
        </w:rPr>
        <w:t xml:space="preserve">This staging rule operates at a facility level, such that, if a customer has several facilities and only one goes </w:t>
      </w:r>
      <w:r w:rsidR="001E1874" w:rsidRPr="00C62050">
        <w:rPr>
          <w:rFonts w:ascii="Arial" w:hAnsi="Arial" w:cs="Arial"/>
          <w:szCs w:val="20"/>
        </w:rPr>
        <w:t>30+ d</w:t>
      </w:r>
      <w:r w:rsidR="00031B70" w:rsidRPr="00C62050">
        <w:rPr>
          <w:rFonts w:ascii="Arial" w:hAnsi="Arial" w:cs="Arial"/>
          <w:szCs w:val="20"/>
        </w:rPr>
        <w:t>ays</w:t>
      </w:r>
      <w:r w:rsidR="001E1874" w:rsidRPr="00C62050">
        <w:rPr>
          <w:rFonts w:ascii="Arial" w:hAnsi="Arial" w:cs="Arial"/>
          <w:szCs w:val="20"/>
        </w:rPr>
        <w:t xml:space="preserve"> </w:t>
      </w:r>
      <w:r w:rsidRPr="00C62050">
        <w:rPr>
          <w:rFonts w:ascii="Arial" w:hAnsi="Arial" w:cs="Arial"/>
          <w:szCs w:val="20"/>
        </w:rPr>
        <w:t xml:space="preserve">past due and is </w:t>
      </w:r>
      <w:r w:rsidR="00EF5206" w:rsidRPr="00C62050">
        <w:rPr>
          <w:rFonts w:ascii="Arial" w:hAnsi="Arial" w:cs="Arial"/>
          <w:szCs w:val="20"/>
        </w:rPr>
        <w:t>flagged</w:t>
      </w:r>
      <w:r w:rsidR="00752A2C" w:rsidRPr="00C62050">
        <w:rPr>
          <w:rFonts w:ascii="Arial" w:hAnsi="Arial" w:cs="Arial"/>
          <w:szCs w:val="20"/>
        </w:rPr>
        <w:t xml:space="preserve"> </w:t>
      </w:r>
      <w:r w:rsidRPr="00C62050">
        <w:rPr>
          <w:rFonts w:ascii="Arial" w:hAnsi="Arial" w:cs="Arial"/>
          <w:szCs w:val="20"/>
        </w:rPr>
        <w:t xml:space="preserve">as Stage 2 under this rule, then only that facility will be treated as </w:t>
      </w:r>
      <w:r w:rsidR="00752A2C" w:rsidRPr="00C62050">
        <w:rPr>
          <w:rFonts w:ascii="Arial" w:hAnsi="Arial" w:cs="Arial"/>
          <w:szCs w:val="20"/>
        </w:rPr>
        <w:t xml:space="preserve">Stage </w:t>
      </w:r>
      <w:r w:rsidRPr="00C62050">
        <w:rPr>
          <w:rFonts w:ascii="Arial" w:hAnsi="Arial" w:cs="Arial"/>
          <w:szCs w:val="20"/>
        </w:rPr>
        <w:t>2</w:t>
      </w:r>
      <w:r w:rsidR="001E1874" w:rsidRPr="00C62050">
        <w:rPr>
          <w:rFonts w:ascii="Arial" w:hAnsi="Arial" w:cs="Arial"/>
          <w:szCs w:val="20"/>
        </w:rPr>
        <w:t xml:space="preserve"> (not the customer)</w:t>
      </w:r>
      <w:r w:rsidRPr="00C62050">
        <w:rPr>
          <w:rFonts w:ascii="Arial" w:hAnsi="Arial" w:cs="Arial"/>
          <w:szCs w:val="20"/>
        </w:rPr>
        <w:t xml:space="preserve">. If such facility </w:t>
      </w:r>
      <w:r w:rsidR="00AE5E61" w:rsidRPr="00C62050">
        <w:rPr>
          <w:rFonts w:ascii="Arial" w:hAnsi="Arial" w:cs="Arial"/>
          <w:szCs w:val="20"/>
        </w:rPr>
        <w:t xml:space="preserve">normalises </w:t>
      </w:r>
      <w:r w:rsidRPr="00C62050">
        <w:rPr>
          <w:rFonts w:ascii="Arial" w:hAnsi="Arial" w:cs="Arial"/>
          <w:szCs w:val="20"/>
        </w:rPr>
        <w:t xml:space="preserve">then </w:t>
      </w:r>
      <w:r w:rsidR="00AE5E61" w:rsidRPr="00C62050">
        <w:rPr>
          <w:rFonts w:ascii="Arial" w:hAnsi="Arial" w:cs="Arial"/>
          <w:szCs w:val="20"/>
        </w:rPr>
        <w:t xml:space="preserve">it </w:t>
      </w:r>
      <w:r w:rsidRPr="00C62050">
        <w:rPr>
          <w:rFonts w:ascii="Arial" w:hAnsi="Arial" w:cs="Arial"/>
          <w:szCs w:val="20"/>
        </w:rPr>
        <w:t xml:space="preserve">will return to </w:t>
      </w:r>
      <w:r w:rsidR="00752A2C" w:rsidRPr="00C62050">
        <w:rPr>
          <w:rFonts w:ascii="Arial" w:hAnsi="Arial" w:cs="Arial"/>
          <w:szCs w:val="20"/>
        </w:rPr>
        <w:t xml:space="preserve">Stage </w:t>
      </w:r>
      <w:r w:rsidRPr="00C62050">
        <w:rPr>
          <w:rFonts w:ascii="Arial" w:hAnsi="Arial" w:cs="Arial"/>
          <w:szCs w:val="20"/>
        </w:rPr>
        <w:t>1</w:t>
      </w:r>
      <w:r w:rsidR="00AE5E61" w:rsidRPr="00C62050">
        <w:rPr>
          <w:rFonts w:ascii="Arial" w:hAnsi="Arial" w:cs="Arial"/>
          <w:szCs w:val="20"/>
        </w:rPr>
        <w:t xml:space="preserve"> following the necessary probation period (12 months)</w:t>
      </w:r>
      <w:r w:rsidRPr="00C62050">
        <w:rPr>
          <w:rFonts w:ascii="Arial" w:hAnsi="Arial" w:cs="Arial"/>
          <w:szCs w:val="20"/>
        </w:rPr>
        <w:t xml:space="preserve">.  </w:t>
      </w:r>
      <w:r w:rsidR="00F60EC9" w:rsidRPr="00C62050">
        <w:rPr>
          <w:rFonts w:ascii="Arial" w:hAnsi="Arial" w:cs="Arial"/>
          <w:szCs w:val="20"/>
        </w:rPr>
        <w:t>Note however, that once a</w:t>
      </w:r>
      <w:r w:rsidR="00342276">
        <w:rPr>
          <w:rFonts w:ascii="Arial" w:hAnsi="Arial" w:cs="Arial"/>
          <w:szCs w:val="20"/>
        </w:rPr>
        <w:t xml:space="preserve"> facility</w:t>
      </w:r>
      <w:r w:rsidR="00F60EC9" w:rsidRPr="00C62050">
        <w:rPr>
          <w:rFonts w:ascii="Arial" w:hAnsi="Arial" w:cs="Arial"/>
          <w:szCs w:val="20"/>
        </w:rPr>
        <w:t xml:space="preserve"> reaches 90+ DPD then the customer is in default and all its facilities will be </w:t>
      </w:r>
      <w:r w:rsidR="00031B70" w:rsidRPr="00C62050">
        <w:rPr>
          <w:rFonts w:ascii="Arial" w:hAnsi="Arial" w:cs="Arial"/>
          <w:szCs w:val="20"/>
        </w:rPr>
        <w:t>categorized</w:t>
      </w:r>
      <w:r w:rsidR="00F60EC9" w:rsidRPr="00C62050">
        <w:rPr>
          <w:rFonts w:ascii="Arial" w:hAnsi="Arial" w:cs="Arial"/>
          <w:szCs w:val="20"/>
        </w:rPr>
        <w:t xml:space="preserve"> as stage 3.</w:t>
      </w:r>
      <w:r w:rsidR="001E1874" w:rsidRPr="00C62050">
        <w:rPr>
          <w:rFonts w:ascii="Arial" w:hAnsi="Arial" w:cs="Arial"/>
          <w:szCs w:val="20"/>
        </w:rPr>
        <w:t xml:space="preserve"> </w:t>
      </w:r>
    </w:p>
    <w:p w14:paraId="653A8721" w14:textId="77777777" w:rsidR="007A3D3D" w:rsidRPr="00972CEE" w:rsidRDefault="007A3D3D" w:rsidP="007A3D3D">
      <w:pPr>
        <w:spacing w:before="120" w:after="120"/>
        <w:rPr>
          <w:rFonts w:ascii="Arial" w:hAnsi="Arial" w:cs="Arial"/>
          <w:b/>
        </w:rPr>
      </w:pPr>
      <w:r w:rsidRPr="00972CEE">
        <w:rPr>
          <w:rFonts w:ascii="Arial" w:hAnsi="Arial" w:cs="Arial"/>
          <w:b/>
        </w:rPr>
        <w:t xml:space="preserve">Potential Impact / Implications </w:t>
      </w:r>
    </w:p>
    <w:p w14:paraId="446ED091" w14:textId="6C71BA9A" w:rsidR="00F67D82" w:rsidRPr="00C62050" w:rsidRDefault="00752A2C" w:rsidP="00D1038B">
      <w:pPr>
        <w:spacing w:before="120" w:after="120"/>
        <w:jc w:val="both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>As at March 2017, the total extent of non-retail exposure</w:t>
      </w:r>
      <w:r w:rsidR="000617E6" w:rsidRPr="00C62050">
        <w:rPr>
          <w:rFonts w:ascii="Arial" w:hAnsi="Arial" w:cs="Arial"/>
          <w:szCs w:val="20"/>
        </w:rPr>
        <w:t xml:space="preserve"> (EAD)</w:t>
      </w:r>
      <w:r w:rsidRPr="00C62050">
        <w:rPr>
          <w:rFonts w:ascii="Arial" w:hAnsi="Arial" w:cs="Arial"/>
          <w:szCs w:val="20"/>
        </w:rPr>
        <w:t xml:space="preserve"> </w:t>
      </w:r>
      <w:r w:rsidR="000617E6" w:rsidRPr="00C62050">
        <w:rPr>
          <w:rFonts w:ascii="Arial" w:hAnsi="Arial" w:cs="Arial"/>
          <w:szCs w:val="20"/>
        </w:rPr>
        <w:t xml:space="preserve">for Qatar </w:t>
      </w:r>
      <w:r w:rsidRPr="00C62050">
        <w:rPr>
          <w:rFonts w:ascii="Arial" w:hAnsi="Arial" w:cs="Arial"/>
          <w:szCs w:val="20"/>
        </w:rPr>
        <w:t>in 30</w:t>
      </w:r>
      <w:r w:rsidR="00AE5E61" w:rsidRPr="00C62050">
        <w:rPr>
          <w:rFonts w:ascii="Arial" w:hAnsi="Arial" w:cs="Arial"/>
          <w:szCs w:val="20"/>
        </w:rPr>
        <w:t>+</w:t>
      </w:r>
      <w:r w:rsidR="004A7D89" w:rsidRPr="00C62050">
        <w:rPr>
          <w:rFonts w:ascii="Arial" w:hAnsi="Arial" w:cs="Arial"/>
          <w:szCs w:val="20"/>
        </w:rPr>
        <w:t xml:space="preserve"> </w:t>
      </w:r>
      <w:r w:rsidRPr="00C62050">
        <w:rPr>
          <w:rFonts w:ascii="Arial" w:hAnsi="Arial" w:cs="Arial"/>
          <w:szCs w:val="20"/>
        </w:rPr>
        <w:t xml:space="preserve">DPD category </w:t>
      </w:r>
      <w:r w:rsidR="00F67D82" w:rsidRPr="00C62050">
        <w:rPr>
          <w:rFonts w:ascii="Arial" w:hAnsi="Arial" w:cs="Arial"/>
          <w:szCs w:val="20"/>
        </w:rPr>
        <w:t>comprise</w:t>
      </w:r>
      <w:r w:rsidR="00444690" w:rsidRPr="00C62050">
        <w:rPr>
          <w:rFonts w:ascii="Arial" w:hAnsi="Arial" w:cs="Arial"/>
          <w:szCs w:val="20"/>
        </w:rPr>
        <w:t>d</w:t>
      </w:r>
      <w:r w:rsidRPr="00C62050">
        <w:rPr>
          <w:rFonts w:ascii="Arial" w:hAnsi="Arial" w:cs="Arial"/>
          <w:szCs w:val="20"/>
        </w:rPr>
        <w:t xml:space="preserve"> </w:t>
      </w:r>
      <w:r w:rsidR="00172E62" w:rsidRPr="00C62050">
        <w:rPr>
          <w:rFonts w:ascii="Arial" w:hAnsi="Arial" w:cs="Arial"/>
          <w:szCs w:val="20"/>
        </w:rPr>
        <w:t>89</w:t>
      </w:r>
      <w:r w:rsidR="00AE5E61" w:rsidRPr="00C62050">
        <w:rPr>
          <w:rFonts w:ascii="Arial" w:hAnsi="Arial" w:cs="Arial"/>
          <w:szCs w:val="20"/>
        </w:rPr>
        <w:t xml:space="preserve"> </w:t>
      </w:r>
      <w:r w:rsidRPr="00C62050">
        <w:rPr>
          <w:rFonts w:ascii="Arial" w:hAnsi="Arial" w:cs="Arial"/>
          <w:szCs w:val="20"/>
        </w:rPr>
        <w:t xml:space="preserve">individual facilities </w:t>
      </w:r>
      <w:r w:rsidR="00FC4EC3">
        <w:rPr>
          <w:rFonts w:ascii="Arial" w:hAnsi="Arial" w:cs="Arial"/>
          <w:szCs w:val="20"/>
        </w:rPr>
        <w:t>(more than 30, but</w:t>
      </w:r>
      <w:r w:rsidR="00F67D82" w:rsidRPr="00C62050">
        <w:rPr>
          <w:rFonts w:ascii="Arial" w:hAnsi="Arial" w:cs="Arial"/>
          <w:szCs w:val="20"/>
        </w:rPr>
        <w:t xml:space="preserve"> less than 60</w:t>
      </w:r>
      <w:r w:rsidR="004A7D89" w:rsidRPr="00C62050">
        <w:rPr>
          <w:rFonts w:ascii="Arial" w:hAnsi="Arial" w:cs="Arial"/>
          <w:szCs w:val="20"/>
        </w:rPr>
        <w:t xml:space="preserve"> DPD</w:t>
      </w:r>
      <w:r w:rsidR="00FC4EC3">
        <w:rPr>
          <w:rFonts w:ascii="Arial" w:hAnsi="Arial" w:cs="Arial"/>
          <w:szCs w:val="20"/>
        </w:rPr>
        <w:t>)</w:t>
      </w:r>
      <w:r w:rsidR="004A7D89" w:rsidRPr="00C62050">
        <w:rPr>
          <w:rFonts w:ascii="Arial" w:hAnsi="Arial" w:cs="Arial"/>
          <w:szCs w:val="20"/>
        </w:rPr>
        <w:t>,</w:t>
      </w:r>
      <w:r w:rsidR="00F67D82" w:rsidRPr="00C62050">
        <w:rPr>
          <w:rFonts w:ascii="Arial" w:hAnsi="Arial" w:cs="Arial"/>
          <w:szCs w:val="20"/>
        </w:rPr>
        <w:t xml:space="preserve"> </w:t>
      </w:r>
      <w:r w:rsidR="00ED6B38" w:rsidRPr="00C62050">
        <w:rPr>
          <w:rFonts w:ascii="Arial" w:hAnsi="Arial" w:cs="Arial"/>
          <w:szCs w:val="20"/>
        </w:rPr>
        <w:t xml:space="preserve">EAD </w:t>
      </w:r>
      <w:r w:rsidRPr="00C62050">
        <w:rPr>
          <w:rFonts w:ascii="Arial" w:hAnsi="Arial" w:cs="Arial"/>
          <w:szCs w:val="20"/>
        </w:rPr>
        <w:t>amounting to QAR</w:t>
      </w:r>
      <w:r w:rsidR="00F67D82" w:rsidRPr="00C62050">
        <w:rPr>
          <w:rFonts w:ascii="Arial" w:hAnsi="Arial" w:cs="Arial"/>
          <w:szCs w:val="20"/>
        </w:rPr>
        <w:t xml:space="preserve"> </w:t>
      </w:r>
      <w:r w:rsidR="00ED6B38" w:rsidRPr="00C62050">
        <w:rPr>
          <w:rFonts w:ascii="Arial" w:hAnsi="Arial" w:cs="Arial"/>
          <w:szCs w:val="20"/>
        </w:rPr>
        <w:t>2</w:t>
      </w:r>
      <w:r w:rsidR="000617E6" w:rsidRPr="00C62050">
        <w:rPr>
          <w:rFonts w:ascii="Arial" w:hAnsi="Arial" w:cs="Arial"/>
          <w:szCs w:val="20"/>
        </w:rPr>
        <w:t>08</w:t>
      </w:r>
      <w:r w:rsidR="00ED6B38" w:rsidRPr="00C62050">
        <w:rPr>
          <w:rFonts w:ascii="Arial" w:hAnsi="Arial" w:cs="Arial"/>
          <w:szCs w:val="20"/>
        </w:rPr>
        <w:t>M</w:t>
      </w:r>
      <w:r w:rsidR="00F67D82" w:rsidRPr="00C62050">
        <w:rPr>
          <w:rFonts w:ascii="Arial" w:hAnsi="Arial" w:cs="Arial"/>
          <w:szCs w:val="20"/>
        </w:rPr>
        <w:t>ln</w:t>
      </w:r>
      <w:r w:rsidRPr="00C62050">
        <w:rPr>
          <w:rFonts w:ascii="Arial" w:hAnsi="Arial" w:cs="Arial"/>
          <w:szCs w:val="20"/>
        </w:rPr>
        <w:t xml:space="preserve">. These will need to be </w:t>
      </w:r>
      <w:r w:rsidR="00F67D82" w:rsidRPr="00C62050">
        <w:rPr>
          <w:rFonts w:ascii="Arial" w:hAnsi="Arial" w:cs="Arial"/>
          <w:szCs w:val="20"/>
        </w:rPr>
        <w:t xml:space="preserve">individually assessed </w:t>
      </w:r>
      <w:r w:rsidR="004A7D89" w:rsidRPr="00C62050">
        <w:rPr>
          <w:rFonts w:ascii="Arial" w:hAnsi="Arial" w:cs="Arial"/>
          <w:szCs w:val="20"/>
        </w:rPr>
        <w:t xml:space="preserve">and </w:t>
      </w:r>
      <w:r w:rsidRPr="00C62050">
        <w:rPr>
          <w:rFonts w:ascii="Arial" w:hAnsi="Arial" w:cs="Arial"/>
          <w:szCs w:val="20"/>
        </w:rPr>
        <w:t xml:space="preserve">the bank will exercise discretion based on their individual assessment of the </w:t>
      </w:r>
      <w:r w:rsidR="00F67D82" w:rsidRPr="00C62050">
        <w:rPr>
          <w:rFonts w:ascii="Arial" w:hAnsi="Arial" w:cs="Arial"/>
          <w:szCs w:val="20"/>
        </w:rPr>
        <w:t xml:space="preserve">related </w:t>
      </w:r>
      <w:r w:rsidRPr="00C62050">
        <w:rPr>
          <w:rFonts w:ascii="Arial" w:hAnsi="Arial" w:cs="Arial"/>
          <w:szCs w:val="20"/>
        </w:rPr>
        <w:t xml:space="preserve">facilities, </w:t>
      </w:r>
      <w:r w:rsidR="004A7D89" w:rsidRPr="00C62050">
        <w:rPr>
          <w:rFonts w:ascii="Arial" w:hAnsi="Arial" w:cs="Arial"/>
          <w:szCs w:val="20"/>
        </w:rPr>
        <w:t xml:space="preserve">considering materiality and </w:t>
      </w:r>
      <w:r w:rsidRPr="00C62050">
        <w:rPr>
          <w:rFonts w:ascii="Arial" w:hAnsi="Arial" w:cs="Arial"/>
          <w:szCs w:val="20"/>
        </w:rPr>
        <w:t xml:space="preserve">providing </w:t>
      </w:r>
      <w:r w:rsidR="004A7D89" w:rsidRPr="00C62050">
        <w:rPr>
          <w:rFonts w:ascii="Arial" w:hAnsi="Arial" w:cs="Arial"/>
          <w:szCs w:val="20"/>
        </w:rPr>
        <w:t xml:space="preserve">supporting </w:t>
      </w:r>
      <w:r w:rsidRPr="00C62050">
        <w:rPr>
          <w:rFonts w:ascii="Arial" w:hAnsi="Arial" w:cs="Arial"/>
          <w:szCs w:val="20"/>
        </w:rPr>
        <w:t xml:space="preserve">evidences that the event does not represent a significant increase in credit risk (SICR). </w:t>
      </w:r>
    </w:p>
    <w:p w14:paraId="0082144C" w14:textId="7A0AAC99" w:rsidR="00477BBD" w:rsidRPr="00C62050" w:rsidRDefault="00752A2C" w:rsidP="00477BBD">
      <w:pPr>
        <w:spacing w:before="120" w:after="120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 xml:space="preserve">The </w:t>
      </w:r>
      <w:r w:rsidR="004A7D89" w:rsidRPr="00C62050">
        <w:rPr>
          <w:rFonts w:ascii="Arial" w:hAnsi="Arial" w:cs="Arial"/>
          <w:szCs w:val="20"/>
        </w:rPr>
        <w:t>i</w:t>
      </w:r>
      <w:r w:rsidRPr="00C62050">
        <w:rPr>
          <w:rFonts w:ascii="Arial" w:hAnsi="Arial" w:cs="Arial"/>
          <w:szCs w:val="20"/>
        </w:rPr>
        <w:t>mpact of rebuttal would</w:t>
      </w:r>
      <w:r w:rsidR="00AE5E61" w:rsidRPr="00C62050">
        <w:rPr>
          <w:rFonts w:ascii="Arial" w:hAnsi="Arial" w:cs="Arial"/>
          <w:szCs w:val="20"/>
        </w:rPr>
        <w:t xml:space="preserve"> keep these accounts in Stage 1 and thereby</w:t>
      </w:r>
      <w:r w:rsidRPr="00C62050">
        <w:rPr>
          <w:rFonts w:ascii="Arial" w:hAnsi="Arial" w:cs="Arial"/>
          <w:szCs w:val="20"/>
        </w:rPr>
        <w:t xml:space="preserve"> reduce the ECL by </w:t>
      </w:r>
      <w:r w:rsidR="000617E6" w:rsidRPr="00C62050">
        <w:rPr>
          <w:rFonts w:ascii="Arial" w:hAnsi="Arial" w:cs="Arial"/>
          <w:szCs w:val="20"/>
        </w:rPr>
        <w:t xml:space="preserve">an amount of </w:t>
      </w:r>
      <w:r w:rsidRPr="00C62050">
        <w:rPr>
          <w:rFonts w:ascii="Arial" w:hAnsi="Arial" w:cs="Arial"/>
          <w:szCs w:val="20"/>
        </w:rPr>
        <w:t>QAR</w:t>
      </w:r>
      <w:r w:rsidR="004A7D89" w:rsidRPr="00C62050">
        <w:rPr>
          <w:rFonts w:ascii="Arial" w:hAnsi="Arial" w:cs="Arial"/>
          <w:szCs w:val="20"/>
        </w:rPr>
        <w:t xml:space="preserve"> </w:t>
      </w:r>
      <w:r w:rsidR="00881250" w:rsidRPr="00C62050">
        <w:rPr>
          <w:rFonts w:ascii="Arial" w:hAnsi="Arial" w:cs="Arial"/>
          <w:szCs w:val="20"/>
        </w:rPr>
        <w:t>1</w:t>
      </w:r>
      <w:r w:rsidR="00444690" w:rsidRPr="00C62050">
        <w:rPr>
          <w:rFonts w:ascii="Arial" w:hAnsi="Arial" w:cs="Arial"/>
          <w:szCs w:val="20"/>
        </w:rPr>
        <w:t>.</w:t>
      </w:r>
      <w:r w:rsidR="000617E6" w:rsidRPr="00C62050">
        <w:rPr>
          <w:rFonts w:ascii="Arial" w:hAnsi="Arial" w:cs="Arial"/>
          <w:szCs w:val="20"/>
        </w:rPr>
        <w:t>6</w:t>
      </w:r>
      <w:r w:rsidR="00881250" w:rsidRPr="00C62050">
        <w:rPr>
          <w:rFonts w:ascii="Arial" w:hAnsi="Arial" w:cs="Arial"/>
          <w:szCs w:val="20"/>
        </w:rPr>
        <w:t xml:space="preserve">Mln </w:t>
      </w:r>
      <w:r w:rsidR="004A7D89" w:rsidRPr="00C62050">
        <w:rPr>
          <w:rFonts w:ascii="Arial" w:hAnsi="Arial" w:cs="Arial"/>
          <w:szCs w:val="20"/>
        </w:rPr>
        <w:t>(</w:t>
      </w:r>
      <w:r w:rsidR="000617E6" w:rsidRPr="00C62050">
        <w:rPr>
          <w:rFonts w:ascii="Arial" w:hAnsi="Arial" w:cs="Arial"/>
          <w:szCs w:val="20"/>
        </w:rPr>
        <w:t>~</w:t>
      </w:r>
      <w:r w:rsidR="004A7D89" w:rsidRPr="00C62050">
        <w:rPr>
          <w:rFonts w:ascii="Arial" w:hAnsi="Arial" w:cs="Arial"/>
          <w:szCs w:val="20"/>
        </w:rPr>
        <w:t>7</w:t>
      </w:r>
      <w:r w:rsidR="000617E6" w:rsidRPr="00C62050">
        <w:rPr>
          <w:rFonts w:ascii="Arial" w:hAnsi="Arial" w:cs="Arial"/>
          <w:szCs w:val="20"/>
        </w:rPr>
        <w:t>7bps</w:t>
      </w:r>
      <w:r w:rsidR="004A7D89" w:rsidRPr="00C62050">
        <w:rPr>
          <w:rFonts w:ascii="Arial" w:hAnsi="Arial" w:cs="Arial"/>
          <w:szCs w:val="20"/>
        </w:rPr>
        <w:t>)</w:t>
      </w:r>
      <w:r w:rsidR="00881250" w:rsidRPr="00C62050">
        <w:rPr>
          <w:rFonts w:ascii="Arial" w:hAnsi="Arial" w:cs="Arial"/>
          <w:szCs w:val="20"/>
        </w:rPr>
        <w:t>.</w:t>
      </w:r>
      <w:r w:rsidR="001B6EAF" w:rsidRPr="00172E62">
        <w:rPr>
          <w:rStyle w:val="FootnoteReference"/>
          <w:rFonts w:ascii="Arial" w:hAnsi="Arial" w:cs="Arial"/>
          <w:szCs w:val="20"/>
        </w:rPr>
        <w:footnoteReference w:id="3"/>
      </w:r>
      <w:r w:rsidR="00477BBD" w:rsidRPr="00C62050">
        <w:rPr>
          <w:rFonts w:ascii="Arial" w:hAnsi="Arial" w:cs="Arial"/>
          <w:szCs w:val="20"/>
        </w:rPr>
        <w:t xml:space="preserve"> </w:t>
      </w:r>
    </w:p>
    <w:p w14:paraId="603A3702" w14:textId="77777777" w:rsidR="00477BBD" w:rsidRPr="00C62050" w:rsidRDefault="00477BBD" w:rsidP="00477BBD">
      <w:pPr>
        <w:spacing w:before="120" w:after="120"/>
        <w:rPr>
          <w:rFonts w:asciiTheme="minorBidi" w:hAnsiTheme="minorBidi"/>
          <w:szCs w:val="20"/>
          <w:lang w:val="en-IN"/>
        </w:rPr>
      </w:pPr>
    </w:p>
    <w:p w14:paraId="6828C796" w14:textId="3719CB0B" w:rsidR="001B6EAF" w:rsidRDefault="005B414D" w:rsidP="00C62050">
      <w:pPr>
        <w:jc w:val="both"/>
        <w:rPr>
          <w:rFonts w:asciiTheme="minorBidi" w:hAnsiTheme="minorBidi"/>
          <w:szCs w:val="20"/>
          <w:lang w:val="en-IN"/>
        </w:rPr>
      </w:pPr>
      <w:r w:rsidRPr="00C62050">
        <w:rPr>
          <w:rFonts w:asciiTheme="minorBidi" w:hAnsiTheme="minorBidi"/>
          <w:szCs w:val="20"/>
          <w:lang w:val="en-IN"/>
        </w:rPr>
        <w:t>The</w:t>
      </w:r>
      <w:r w:rsidR="00FC4EC3">
        <w:rPr>
          <w:rFonts w:asciiTheme="minorBidi" w:hAnsiTheme="minorBidi"/>
          <w:szCs w:val="20"/>
          <w:lang w:val="en-IN"/>
        </w:rPr>
        <w:t xml:space="preserve"> following</w:t>
      </w:r>
      <w:r w:rsidRPr="00C62050">
        <w:rPr>
          <w:rFonts w:asciiTheme="minorBidi" w:hAnsiTheme="minorBidi"/>
          <w:szCs w:val="20"/>
          <w:lang w:val="en-IN"/>
        </w:rPr>
        <w:t xml:space="preserve"> four</w:t>
      </w:r>
      <w:r w:rsidR="00477BBD" w:rsidRPr="00C62050">
        <w:rPr>
          <w:rFonts w:asciiTheme="minorBidi" w:hAnsiTheme="minorBidi"/>
          <w:szCs w:val="20"/>
          <w:lang w:val="en-IN"/>
        </w:rPr>
        <w:t xml:space="preserve"> </w:t>
      </w:r>
      <w:r w:rsidR="00FC4EC3">
        <w:rPr>
          <w:rFonts w:asciiTheme="minorBidi" w:hAnsiTheme="minorBidi"/>
          <w:szCs w:val="20"/>
          <w:lang w:val="en-IN"/>
        </w:rPr>
        <w:t xml:space="preserve">staging </w:t>
      </w:r>
      <w:r w:rsidR="00477BBD" w:rsidRPr="00C62050">
        <w:rPr>
          <w:rFonts w:asciiTheme="minorBidi" w:hAnsiTheme="minorBidi"/>
          <w:szCs w:val="20"/>
          <w:lang w:val="en-IN"/>
        </w:rPr>
        <w:t>rules</w:t>
      </w:r>
      <w:r w:rsidR="00FC4EC3">
        <w:rPr>
          <w:rFonts w:asciiTheme="minorBidi" w:hAnsiTheme="minorBidi"/>
          <w:szCs w:val="20"/>
          <w:lang w:val="en-IN"/>
        </w:rPr>
        <w:t>,</w:t>
      </w:r>
      <w:r w:rsidR="00477BBD" w:rsidRPr="00C62050">
        <w:rPr>
          <w:rFonts w:asciiTheme="minorBidi" w:hAnsiTheme="minorBidi"/>
          <w:szCs w:val="20"/>
          <w:lang w:val="en-IN"/>
        </w:rPr>
        <w:t xml:space="preserve"> described below</w:t>
      </w:r>
      <w:r w:rsidR="00FC4EC3">
        <w:rPr>
          <w:rFonts w:asciiTheme="minorBidi" w:hAnsiTheme="minorBidi"/>
          <w:szCs w:val="20"/>
          <w:lang w:val="en-IN"/>
        </w:rPr>
        <w:t>,</w:t>
      </w:r>
      <w:r w:rsidR="00477BBD" w:rsidRPr="00C62050">
        <w:rPr>
          <w:rFonts w:asciiTheme="minorBidi" w:hAnsiTheme="minorBidi"/>
          <w:szCs w:val="20"/>
          <w:lang w:val="en-IN"/>
        </w:rPr>
        <w:t xml:space="preserve"> will be considered </w:t>
      </w:r>
      <w:r w:rsidR="00477BBD" w:rsidRPr="00C62050">
        <w:rPr>
          <w:rFonts w:asciiTheme="minorBidi" w:hAnsiTheme="minorBidi"/>
          <w:b/>
          <w:bCs/>
          <w:szCs w:val="20"/>
          <w:u w:val="single"/>
          <w:lang w:val="en-IN"/>
        </w:rPr>
        <w:t>back-stops</w:t>
      </w:r>
      <w:r w:rsidR="00477BBD" w:rsidRPr="00C62050">
        <w:rPr>
          <w:rFonts w:asciiTheme="minorBidi" w:hAnsiTheme="minorBidi"/>
          <w:szCs w:val="20"/>
          <w:lang w:val="en-IN"/>
        </w:rPr>
        <w:t xml:space="preserve"> in identifying loans to be in Stage 2. These rules will be applied mechanically across the portfolio without any </w:t>
      </w:r>
      <w:r w:rsidR="00342276" w:rsidRPr="004951B6">
        <w:rPr>
          <w:rFonts w:asciiTheme="minorBidi" w:hAnsiTheme="minorBidi"/>
          <w:szCs w:val="20"/>
          <w:lang w:val="en-IN"/>
        </w:rPr>
        <w:t>singular</w:t>
      </w:r>
      <w:r w:rsidR="00477BBD" w:rsidRPr="00C62050">
        <w:rPr>
          <w:rFonts w:asciiTheme="minorBidi" w:hAnsiTheme="minorBidi"/>
          <w:szCs w:val="20"/>
          <w:lang w:val="en-IN"/>
        </w:rPr>
        <w:t xml:space="preserve"> </w:t>
      </w:r>
      <w:r w:rsidR="00170940">
        <w:rPr>
          <w:rFonts w:asciiTheme="minorBidi" w:hAnsiTheme="minorBidi"/>
          <w:szCs w:val="20"/>
          <w:lang w:val="en-IN"/>
        </w:rPr>
        <w:t xml:space="preserve">facility </w:t>
      </w:r>
      <w:r w:rsidR="00477BBD" w:rsidRPr="00C62050">
        <w:rPr>
          <w:rFonts w:asciiTheme="minorBidi" w:hAnsiTheme="minorBidi"/>
          <w:szCs w:val="20"/>
          <w:lang w:val="en-IN"/>
        </w:rPr>
        <w:t>assessment.</w:t>
      </w:r>
      <w:r w:rsidRPr="00C62050">
        <w:rPr>
          <w:rFonts w:asciiTheme="minorBidi" w:hAnsiTheme="minorBidi"/>
          <w:szCs w:val="20"/>
          <w:lang w:val="en-IN"/>
        </w:rPr>
        <w:t xml:space="preserve"> The process of assessing facilities and customers </w:t>
      </w:r>
      <w:r w:rsidR="00170940">
        <w:rPr>
          <w:rFonts w:asciiTheme="minorBidi" w:hAnsiTheme="minorBidi"/>
          <w:szCs w:val="20"/>
          <w:lang w:val="en-IN"/>
        </w:rPr>
        <w:t xml:space="preserve">on a case-by-case basis to determine Stage 2 </w:t>
      </w:r>
      <w:r w:rsidR="00170940">
        <w:rPr>
          <w:rFonts w:asciiTheme="minorBidi" w:hAnsiTheme="minorBidi"/>
          <w:i/>
          <w:iCs/>
          <w:szCs w:val="20"/>
          <w:lang w:val="en-IN"/>
        </w:rPr>
        <w:t xml:space="preserve">significant increase in credit risk </w:t>
      </w:r>
      <w:r w:rsidRPr="00C62050">
        <w:rPr>
          <w:rFonts w:asciiTheme="minorBidi" w:hAnsiTheme="minorBidi"/>
          <w:szCs w:val="20"/>
          <w:lang w:val="en-IN"/>
        </w:rPr>
        <w:t xml:space="preserve"> will only apply as per Rule #1 above.</w:t>
      </w:r>
    </w:p>
    <w:p w14:paraId="124D866F" w14:textId="77777777" w:rsidR="001B6EAF" w:rsidRDefault="001B6EAF">
      <w:pPr>
        <w:rPr>
          <w:rFonts w:asciiTheme="minorBidi" w:hAnsiTheme="minorBidi"/>
          <w:szCs w:val="20"/>
          <w:lang w:val="en-IN"/>
        </w:rPr>
      </w:pPr>
      <w:r>
        <w:rPr>
          <w:rFonts w:asciiTheme="minorBidi" w:hAnsiTheme="minorBidi"/>
          <w:szCs w:val="20"/>
          <w:lang w:val="en-IN"/>
        </w:rPr>
        <w:br w:type="page"/>
      </w:r>
    </w:p>
    <w:p w14:paraId="1E37D7A1" w14:textId="189FDDA5" w:rsidR="00AC6C5D" w:rsidRPr="00C62050" w:rsidRDefault="00AC6C5D">
      <w:pPr>
        <w:rPr>
          <w:rFonts w:asciiTheme="minorBidi" w:eastAsia="Times New Roman" w:hAnsiTheme="minorBidi"/>
          <w:color w:val="FF0000"/>
          <w:szCs w:val="20"/>
          <w:lang w:val="en-AU" w:eastAsia="en-AU"/>
        </w:rPr>
      </w:pPr>
    </w:p>
    <w:p w14:paraId="293BFDE5" w14:textId="3AED0956" w:rsidR="00AE5E61" w:rsidRPr="00972CEE" w:rsidRDefault="00AE5E61" w:rsidP="00AE5E61">
      <w:pPr>
        <w:pStyle w:val="Heading2"/>
        <w:keepNext w:val="0"/>
        <w:keepLines w:val="0"/>
        <w:widowControl w:val="0"/>
        <w:spacing w:before="240" w:after="240" w:line="240" w:lineRule="auto"/>
        <w:ind w:left="567" w:hanging="567"/>
        <w:jc w:val="both"/>
        <w:rPr>
          <w:rFonts w:eastAsia="Calibri" w:cs="Arial"/>
          <w:lang w:val="en-IN"/>
        </w:rPr>
      </w:pPr>
      <w:r>
        <w:rPr>
          <w:rFonts w:eastAsia="Calibri" w:cs="Arial"/>
          <w:lang w:val="en-IN"/>
        </w:rPr>
        <w:t>Rule #2: 60+ Days Past Due</w:t>
      </w:r>
    </w:p>
    <w:p w14:paraId="283E30CD" w14:textId="52FF1CE2" w:rsidR="00374CAF" w:rsidRPr="00C62050" w:rsidRDefault="00374CAF" w:rsidP="00881250">
      <w:pPr>
        <w:spacing w:before="120" w:after="120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>60</w:t>
      </w:r>
      <w:r w:rsidR="00BA59F4" w:rsidRPr="00C62050">
        <w:rPr>
          <w:rFonts w:ascii="Arial" w:hAnsi="Arial" w:cs="Arial"/>
          <w:szCs w:val="20"/>
        </w:rPr>
        <w:t>+</w:t>
      </w:r>
      <w:r w:rsidRPr="00C62050">
        <w:rPr>
          <w:rFonts w:ascii="Arial" w:hAnsi="Arial" w:cs="Arial"/>
          <w:szCs w:val="20"/>
        </w:rPr>
        <w:t xml:space="preserve"> DPD on </w:t>
      </w:r>
      <w:r w:rsidR="00B91846" w:rsidRPr="00C62050">
        <w:rPr>
          <w:rFonts w:ascii="Arial" w:hAnsi="Arial" w:cs="Arial"/>
          <w:szCs w:val="20"/>
        </w:rPr>
        <w:t xml:space="preserve">a </w:t>
      </w:r>
      <w:r w:rsidRPr="00C62050">
        <w:rPr>
          <w:rFonts w:ascii="Arial" w:hAnsi="Arial" w:cs="Arial"/>
          <w:szCs w:val="20"/>
        </w:rPr>
        <w:t xml:space="preserve">payment commitment is a strong indicator of </w:t>
      </w:r>
      <w:r w:rsidR="00B91846" w:rsidRPr="00C62050">
        <w:rPr>
          <w:rFonts w:ascii="Arial" w:hAnsi="Arial" w:cs="Arial"/>
          <w:szCs w:val="20"/>
        </w:rPr>
        <w:t xml:space="preserve">significant </w:t>
      </w:r>
      <w:r w:rsidRPr="00C62050">
        <w:rPr>
          <w:rFonts w:ascii="Arial" w:hAnsi="Arial" w:cs="Arial"/>
          <w:szCs w:val="20"/>
        </w:rPr>
        <w:t>credit deterioration</w:t>
      </w:r>
      <w:r w:rsidR="00B91846" w:rsidRPr="00C62050">
        <w:rPr>
          <w:rFonts w:ascii="Arial" w:hAnsi="Arial" w:cs="Arial"/>
          <w:szCs w:val="20"/>
        </w:rPr>
        <w:t>,</w:t>
      </w:r>
      <w:r w:rsidRPr="00C62050">
        <w:rPr>
          <w:rFonts w:ascii="Arial" w:hAnsi="Arial" w:cs="Arial"/>
          <w:szCs w:val="20"/>
        </w:rPr>
        <w:t xml:space="preserve"> </w:t>
      </w:r>
      <w:r w:rsidR="00B91846" w:rsidRPr="00C62050">
        <w:rPr>
          <w:rFonts w:ascii="Arial" w:hAnsi="Arial" w:cs="Arial"/>
          <w:szCs w:val="20"/>
        </w:rPr>
        <w:t>and</w:t>
      </w:r>
      <w:r w:rsidRPr="00C62050">
        <w:rPr>
          <w:rFonts w:ascii="Arial" w:hAnsi="Arial" w:cs="Arial"/>
          <w:szCs w:val="20"/>
        </w:rPr>
        <w:t xml:space="preserve"> hence</w:t>
      </w:r>
      <w:r w:rsidR="00B91846" w:rsidRPr="00C62050">
        <w:rPr>
          <w:rFonts w:ascii="Arial" w:hAnsi="Arial" w:cs="Arial"/>
          <w:szCs w:val="20"/>
        </w:rPr>
        <w:t>,</w:t>
      </w:r>
      <w:r w:rsidRPr="00C62050">
        <w:rPr>
          <w:rFonts w:ascii="Arial" w:hAnsi="Arial" w:cs="Arial"/>
          <w:szCs w:val="20"/>
        </w:rPr>
        <w:t xml:space="preserve"> any </w:t>
      </w:r>
      <w:r w:rsidR="00BA59F4" w:rsidRPr="00C62050">
        <w:rPr>
          <w:rFonts w:ascii="Arial" w:hAnsi="Arial" w:cs="Arial"/>
          <w:szCs w:val="20"/>
        </w:rPr>
        <w:t>facility</w:t>
      </w:r>
      <w:r w:rsidRPr="00C62050">
        <w:rPr>
          <w:rFonts w:ascii="Arial" w:hAnsi="Arial" w:cs="Arial"/>
          <w:szCs w:val="20"/>
        </w:rPr>
        <w:t xml:space="preserve"> overdue for 60</w:t>
      </w:r>
      <w:r w:rsidR="00BA59F4" w:rsidRPr="00C62050">
        <w:rPr>
          <w:rFonts w:ascii="Arial" w:hAnsi="Arial" w:cs="Arial"/>
          <w:szCs w:val="20"/>
        </w:rPr>
        <w:t>+</w:t>
      </w:r>
      <w:r w:rsidRPr="00C62050">
        <w:rPr>
          <w:rFonts w:ascii="Arial" w:hAnsi="Arial" w:cs="Arial"/>
          <w:szCs w:val="20"/>
        </w:rPr>
        <w:t xml:space="preserve"> days or more will be </w:t>
      </w:r>
      <w:r w:rsidR="00F914A4" w:rsidRPr="00C62050">
        <w:rPr>
          <w:rFonts w:ascii="Arial" w:hAnsi="Arial" w:cs="Arial"/>
          <w:szCs w:val="20"/>
        </w:rPr>
        <w:t xml:space="preserve">placed </w:t>
      </w:r>
      <w:r w:rsidRPr="00C62050">
        <w:rPr>
          <w:rFonts w:ascii="Arial" w:hAnsi="Arial" w:cs="Arial"/>
          <w:szCs w:val="20"/>
        </w:rPr>
        <w:t>in Stage 2</w:t>
      </w:r>
      <w:r w:rsidR="00EF5206" w:rsidRPr="00C62050">
        <w:rPr>
          <w:rFonts w:ascii="Arial" w:hAnsi="Arial" w:cs="Arial"/>
          <w:szCs w:val="20"/>
        </w:rPr>
        <w:t xml:space="preserve"> as per </w:t>
      </w:r>
      <w:r w:rsidR="00F914A4" w:rsidRPr="00C62050">
        <w:rPr>
          <w:rFonts w:ascii="Arial" w:hAnsi="Arial" w:cs="Arial"/>
          <w:b/>
          <w:bCs/>
          <w:szCs w:val="20"/>
        </w:rPr>
        <w:t xml:space="preserve">QCB </w:t>
      </w:r>
      <w:r w:rsidR="00EF5206" w:rsidRPr="00C62050">
        <w:rPr>
          <w:rFonts w:ascii="Arial" w:hAnsi="Arial" w:cs="Arial"/>
          <w:b/>
          <w:bCs/>
          <w:szCs w:val="20"/>
        </w:rPr>
        <w:t>Regulat</w:t>
      </w:r>
      <w:r w:rsidR="00881250" w:rsidRPr="00C62050">
        <w:rPr>
          <w:rFonts w:ascii="Arial" w:hAnsi="Arial" w:cs="Arial"/>
          <w:b/>
          <w:bCs/>
          <w:szCs w:val="20"/>
        </w:rPr>
        <w:t>ory Instructions</w:t>
      </w:r>
      <w:r w:rsidR="00EF5206" w:rsidRPr="00C62050">
        <w:rPr>
          <w:rFonts w:ascii="Arial" w:hAnsi="Arial" w:cs="Arial"/>
          <w:szCs w:val="20"/>
        </w:rPr>
        <w:t>.</w:t>
      </w:r>
      <w:r w:rsidR="00F914A4" w:rsidRPr="00C62050">
        <w:rPr>
          <w:rFonts w:ascii="Arial" w:hAnsi="Arial" w:cs="Arial"/>
          <w:szCs w:val="20"/>
        </w:rPr>
        <w:t xml:space="preserve"> </w:t>
      </w:r>
    </w:p>
    <w:p w14:paraId="74E2FAE4" w14:textId="77777777" w:rsidR="00374CAF" w:rsidRPr="00C62050" w:rsidRDefault="00374CAF" w:rsidP="004605B7">
      <w:pPr>
        <w:spacing w:before="120" w:after="120"/>
        <w:rPr>
          <w:rFonts w:ascii="Arial" w:hAnsi="Arial" w:cs="Arial"/>
          <w:b/>
          <w:szCs w:val="20"/>
        </w:rPr>
      </w:pPr>
      <w:r w:rsidRPr="00C62050">
        <w:rPr>
          <w:rFonts w:ascii="Arial" w:hAnsi="Arial" w:cs="Arial"/>
          <w:b/>
          <w:szCs w:val="20"/>
        </w:rPr>
        <w:t xml:space="preserve">Rationale </w:t>
      </w:r>
    </w:p>
    <w:p w14:paraId="42BFF58A" w14:textId="0713D17E" w:rsidR="00374CAF" w:rsidRPr="00C62050" w:rsidRDefault="00374CAF">
      <w:pPr>
        <w:spacing w:before="120" w:after="120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>IFRS</w:t>
      </w:r>
      <w:r w:rsidR="00477BBD" w:rsidRPr="00C62050">
        <w:rPr>
          <w:rFonts w:ascii="Arial" w:hAnsi="Arial" w:cs="Arial"/>
          <w:szCs w:val="20"/>
        </w:rPr>
        <w:t xml:space="preserve"> </w:t>
      </w:r>
      <w:r w:rsidRPr="00C62050">
        <w:rPr>
          <w:rFonts w:ascii="Arial" w:hAnsi="Arial" w:cs="Arial"/>
          <w:szCs w:val="20"/>
        </w:rPr>
        <w:t xml:space="preserve">9 allows banks to rebut </w:t>
      </w:r>
      <w:r w:rsidR="00B91846" w:rsidRPr="00C62050">
        <w:rPr>
          <w:rFonts w:ascii="Arial" w:hAnsi="Arial" w:cs="Arial"/>
          <w:szCs w:val="20"/>
        </w:rPr>
        <w:t xml:space="preserve">the </w:t>
      </w:r>
      <w:r w:rsidRPr="00C62050">
        <w:rPr>
          <w:rFonts w:ascii="Arial" w:hAnsi="Arial" w:cs="Arial"/>
          <w:szCs w:val="20"/>
        </w:rPr>
        <w:t>30</w:t>
      </w:r>
      <w:r w:rsidR="00BA59F4" w:rsidRPr="00C62050">
        <w:rPr>
          <w:rFonts w:ascii="Arial" w:hAnsi="Arial" w:cs="Arial"/>
          <w:szCs w:val="20"/>
        </w:rPr>
        <w:t>+</w:t>
      </w:r>
      <w:r w:rsidRPr="00C62050">
        <w:rPr>
          <w:rFonts w:ascii="Arial" w:hAnsi="Arial" w:cs="Arial"/>
          <w:szCs w:val="20"/>
        </w:rPr>
        <w:t xml:space="preserve"> DPD </w:t>
      </w:r>
      <w:r w:rsidR="00B91846" w:rsidRPr="00C62050">
        <w:rPr>
          <w:rFonts w:ascii="Arial" w:hAnsi="Arial" w:cs="Arial"/>
          <w:szCs w:val="20"/>
        </w:rPr>
        <w:t xml:space="preserve">rule </w:t>
      </w:r>
      <w:r w:rsidRPr="00C62050">
        <w:rPr>
          <w:rFonts w:ascii="Arial" w:hAnsi="Arial" w:cs="Arial"/>
          <w:szCs w:val="20"/>
        </w:rPr>
        <w:t xml:space="preserve">with reasonable and supportable information however </w:t>
      </w:r>
      <w:r w:rsidR="00477BBD" w:rsidRPr="00C62050">
        <w:rPr>
          <w:rFonts w:ascii="Arial" w:hAnsi="Arial" w:cs="Arial"/>
          <w:szCs w:val="20"/>
        </w:rPr>
        <w:t xml:space="preserve">at </w:t>
      </w:r>
      <w:r w:rsidRPr="00C62050">
        <w:rPr>
          <w:rFonts w:ascii="Arial" w:hAnsi="Arial" w:cs="Arial"/>
          <w:szCs w:val="20"/>
        </w:rPr>
        <w:t>60</w:t>
      </w:r>
      <w:r w:rsidR="00BA59F4" w:rsidRPr="00C62050">
        <w:rPr>
          <w:rFonts w:ascii="Arial" w:hAnsi="Arial" w:cs="Arial"/>
          <w:szCs w:val="20"/>
        </w:rPr>
        <w:t>+</w:t>
      </w:r>
      <w:r w:rsidRPr="00C62050">
        <w:rPr>
          <w:rFonts w:ascii="Arial" w:hAnsi="Arial" w:cs="Arial"/>
          <w:szCs w:val="20"/>
        </w:rPr>
        <w:t xml:space="preserve"> DPD</w:t>
      </w:r>
      <w:r w:rsidR="00477BBD" w:rsidRPr="00C62050">
        <w:rPr>
          <w:rFonts w:ascii="Arial" w:hAnsi="Arial" w:cs="Arial"/>
          <w:szCs w:val="20"/>
        </w:rPr>
        <w:t xml:space="preserve"> the facilit</w:t>
      </w:r>
      <w:r w:rsidR="004951B6" w:rsidRPr="00C62050">
        <w:rPr>
          <w:rFonts w:ascii="Arial" w:hAnsi="Arial" w:cs="Arial"/>
          <w:szCs w:val="20"/>
        </w:rPr>
        <w:t>y must be allocated to stage 2</w:t>
      </w:r>
      <w:r w:rsidR="00477BBD" w:rsidRPr="00C62050">
        <w:rPr>
          <w:rFonts w:ascii="Arial" w:hAnsi="Arial" w:cs="Arial"/>
          <w:szCs w:val="20"/>
        </w:rPr>
        <w:t>, since this is a</w:t>
      </w:r>
      <w:r w:rsidRPr="00C62050">
        <w:rPr>
          <w:rFonts w:ascii="Arial" w:hAnsi="Arial" w:cs="Arial"/>
          <w:szCs w:val="20"/>
        </w:rPr>
        <w:t xml:space="preserve"> back-stop rule </w:t>
      </w:r>
      <w:r w:rsidR="00477BBD" w:rsidRPr="00C62050">
        <w:rPr>
          <w:rFonts w:ascii="Arial" w:hAnsi="Arial" w:cs="Arial"/>
          <w:szCs w:val="20"/>
        </w:rPr>
        <w:t>it</w:t>
      </w:r>
      <w:r w:rsidRPr="00C62050">
        <w:rPr>
          <w:rFonts w:ascii="Arial" w:hAnsi="Arial" w:cs="Arial"/>
          <w:szCs w:val="20"/>
        </w:rPr>
        <w:t xml:space="preserve"> </w:t>
      </w:r>
      <w:r w:rsidR="00B91846" w:rsidRPr="00C62050">
        <w:rPr>
          <w:rFonts w:ascii="Arial" w:hAnsi="Arial" w:cs="Arial"/>
          <w:szCs w:val="20"/>
        </w:rPr>
        <w:t>cannot</w:t>
      </w:r>
      <w:r w:rsidRPr="00C62050">
        <w:rPr>
          <w:rFonts w:ascii="Arial" w:hAnsi="Arial" w:cs="Arial"/>
          <w:szCs w:val="20"/>
        </w:rPr>
        <w:t xml:space="preserve"> be overridden under any circumstances.</w:t>
      </w:r>
    </w:p>
    <w:p w14:paraId="593B7A96" w14:textId="45EB3304" w:rsidR="00374CAF" w:rsidRPr="00C62050" w:rsidRDefault="00477BBD">
      <w:pPr>
        <w:spacing w:before="120" w:after="120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>Extract from</w:t>
      </w:r>
      <w:r w:rsidR="00374CAF" w:rsidRPr="00C62050">
        <w:rPr>
          <w:rFonts w:ascii="Arial" w:hAnsi="Arial" w:cs="Arial"/>
          <w:szCs w:val="20"/>
        </w:rPr>
        <w:t xml:space="preserve"> QCB</w:t>
      </w:r>
      <w:r w:rsidRPr="00C62050">
        <w:rPr>
          <w:rFonts w:ascii="Arial" w:hAnsi="Arial" w:cs="Arial"/>
          <w:szCs w:val="20"/>
        </w:rPr>
        <w:t xml:space="preserve"> Instructions to banks</w:t>
      </w:r>
      <w:r w:rsidR="00374CAF" w:rsidRPr="00C62050">
        <w:rPr>
          <w:rFonts w:ascii="Arial" w:hAnsi="Arial" w:cs="Arial"/>
          <w:szCs w:val="20"/>
        </w:rPr>
        <w:t>:</w:t>
      </w:r>
    </w:p>
    <w:p w14:paraId="59DAA2F5" w14:textId="72339213" w:rsidR="00374CAF" w:rsidRPr="00972CEE" w:rsidRDefault="007108C1" w:rsidP="004605B7">
      <w:pPr>
        <w:spacing w:before="120" w:after="120"/>
        <w:ind w:left="1843" w:right="1705"/>
        <w:jc w:val="both"/>
        <w:rPr>
          <w:rFonts w:ascii="Arial" w:hAnsi="Arial" w:cs="Arial"/>
          <w:i/>
        </w:rPr>
      </w:pPr>
      <w:r>
        <w:rPr>
          <w:rFonts w:ascii="Arial" w:hAnsi="Arial" w:cs="Arial"/>
          <w:i/>
        </w:rPr>
        <w:t>“</w:t>
      </w:r>
      <w:r w:rsidR="00374CAF" w:rsidRPr="00972CEE">
        <w:rPr>
          <w:rFonts w:ascii="Arial" w:hAnsi="Arial" w:cs="Arial"/>
          <w:i/>
        </w:rPr>
        <w:t xml:space="preserve">IFRS 9 assumes deterioration of credit quality of any financial asset substantially when payment of </w:t>
      </w:r>
      <w:r w:rsidR="00D45C20" w:rsidRPr="00972CEE">
        <w:rPr>
          <w:rFonts w:ascii="Arial" w:hAnsi="Arial" w:cs="Arial"/>
          <w:i/>
        </w:rPr>
        <w:t>installments</w:t>
      </w:r>
      <w:r w:rsidR="00374CAF" w:rsidRPr="00972CEE">
        <w:rPr>
          <w:rFonts w:ascii="Arial" w:hAnsi="Arial" w:cs="Arial"/>
          <w:i/>
        </w:rPr>
        <w:t xml:space="preserve"> is past due for more than 30 days, unless the bank has reasonable and backed up information to use longer periods of delay, which will </w:t>
      </w:r>
      <w:r>
        <w:rPr>
          <w:rFonts w:ascii="Arial" w:hAnsi="Arial" w:cs="Arial"/>
          <w:i/>
        </w:rPr>
        <w:t>not exceed 60 days in all cases”</w:t>
      </w:r>
    </w:p>
    <w:p w14:paraId="33AA825F" w14:textId="15C96E66" w:rsidR="004F5A13" w:rsidRPr="004605B7" w:rsidRDefault="00374CAF" w:rsidP="004605B7">
      <w:pPr>
        <w:pStyle w:val="ListParagraph"/>
        <w:numPr>
          <w:ilvl w:val="0"/>
          <w:numId w:val="17"/>
        </w:numPr>
        <w:spacing w:before="120" w:after="120"/>
        <w:ind w:right="4"/>
        <w:contextualSpacing w:val="0"/>
        <w:jc w:val="right"/>
        <w:rPr>
          <w:rFonts w:ascii="Arial" w:hAnsi="Arial" w:cs="Arial"/>
          <w:i/>
        </w:rPr>
      </w:pPr>
      <w:r w:rsidRPr="004605B7">
        <w:rPr>
          <w:rFonts w:ascii="Arial" w:hAnsi="Arial" w:cs="Arial"/>
          <w:i/>
        </w:rPr>
        <w:t>Section 2.4.1, Page 23, QCB-IFRS9 Instructions Feb17</w:t>
      </w:r>
    </w:p>
    <w:p w14:paraId="2F584989" w14:textId="67816EE7" w:rsidR="004E2A9A" w:rsidRPr="00C62050" w:rsidRDefault="004E2A9A" w:rsidP="004605B7">
      <w:pPr>
        <w:spacing w:before="120" w:after="120"/>
        <w:rPr>
          <w:rFonts w:ascii="Arial" w:hAnsi="Arial"/>
          <w:i/>
        </w:rPr>
      </w:pPr>
    </w:p>
    <w:p w14:paraId="379C717D" w14:textId="77777777" w:rsidR="004E2A9A" w:rsidRPr="00972CEE" w:rsidRDefault="004E2A9A" w:rsidP="004605B7">
      <w:pPr>
        <w:spacing w:before="120" w:after="120"/>
        <w:rPr>
          <w:rFonts w:ascii="Arial" w:hAnsi="Arial" w:cs="Arial"/>
          <w:b/>
        </w:rPr>
      </w:pPr>
      <w:r w:rsidRPr="00972CEE">
        <w:rPr>
          <w:rFonts w:ascii="Arial" w:hAnsi="Arial" w:cs="Arial"/>
          <w:b/>
        </w:rPr>
        <w:t xml:space="preserve">Potential Impact / Implications </w:t>
      </w:r>
    </w:p>
    <w:p w14:paraId="1CD58F99" w14:textId="0257662F" w:rsidR="008838DA" w:rsidRPr="00972CEE" w:rsidRDefault="00881250" w:rsidP="00C62050">
      <w:pPr>
        <w:spacing w:before="120" w:after="120"/>
        <w:jc w:val="both"/>
        <w:rPr>
          <w:rFonts w:ascii="Arial" w:hAnsi="Arial" w:cs="Arial"/>
          <w:color w:val="FF0000"/>
        </w:rPr>
      </w:pPr>
      <w:r w:rsidRPr="00172E62">
        <w:rPr>
          <w:rFonts w:ascii="Arial" w:hAnsi="Arial" w:cs="Arial"/>
          <w:bCs/>
        </w:rPr>
        <w:t>As at March 2017, the total extent of non-retail exposure (</w:t>
      </w:r>
      <w:r w:rsidR="004951B6" w:rsidRPr="00172E62">
        <w:rPr>
          <w:rFonts w:ascii="Arial" w:hAnsi="Arial" w:cs="Arial"/>
          <w:bCs/>
        </w:rPr>
        <w:t>Qatar</w:t>
      </w:r>
      <w:r w:rsidRPr="00172E62">
        <w:rPr>
          <w:rFonts w:ascii="Arial" w:hAnsi="Arial" w:cs="Arial"/>
          <w:bCs/>
        </w:rPr>
        <w:t xml:space="preserve">) in 60+DPD </w:t>
      </w:r>
      <w:r w:rsidRPr="00C62050">
        <w:rPr>
          <w:rFonts w:ascii="Arial" w:hAnsi="Arial" w:cs="Arial"/>
          <w:bCs/>
        </w:rPr>
        <w:t>category comprise</w:t>
      </w:r>
      <w:r w:rsidR="00444690" w:rsidRPr="00C62050">
        <w:rPr>
          <w:rFonts w:ascii="Arial" w:hAnsi="Arial" w:cs="Arial"/>
          <w:bCs/>
        </w:rPr>
        <w:t>d</w:t>
      </w:r>
      <w:r w:rsidR="000617E6" w:rsidRPr="00C62050">
        <w:rPr>
          <w:rFonts w:ascii="Arial" w:hAnsi="Arial" w:cs="Arial"/>
          <w:bCs/>
        </w:rPr>
        <w:t xml:space="preserve"> </w:t>
      </w:r>
      <w:r w:rsidR="00172E62" w:rsidRPr="00C62050">
        <w:rPr>
          <w:rFonts w:ascii="Arial" w:hAnsi="Arial" w:cs="Arial"/>
          <w:bCs/>
        </w:rPr>
        <w:t>8</w:t>
      </w:r>
      <w:r w:rsidRPr="00C62050">
        <w:rPr>
          <w:rFonts w:ascii="Arial" w:hAnsi="Arial" w:cs="Arial"/>
          <w:bCs/>
        </w:rPr>
        <w:t xml:space="preserve"> individual facilities</w:t>
      </w:r>
      <w:r w:rsidR="00444690" w:rsidRPr="00C62050">
        <w:rPr>
          <w:rFonts w:ascii="Arial" w:hAnsi="Arial" w:cs="Arial"/>
          <w:bCs/>
        </w:rPr>
        <w:t xml:space="preserve"> </w:t>
      </w:r>
      <w:r w:rsidRPr="00C62050">
        <w:rPr>
          <w:rFonts w:ascii="Arial" w:hAnsi="Arial" w:cs="Arial"/>
          <w:bCs/>
        </w:rPr>
        <w:t xml:space="preserve">amounting to QAR </w:t>
      </w:r>
      <w:r w:rsidR="00172E62" w:rsidRPr="00C62050">
        <w:rPr>
          <w:rFonts w:ascii="Arial" w:hAnsi="Arial" w:cs="Arial"/>
          <w:bCs/>
        </w:rPr>
        <w:t>59</w:t>
      </w:r>
      <w:r w:rsidR="000617E6" w:rsidRPr="00C62050">
        <w:rPr>
          <w:rFonts w:ascii="Arial" w:hAnsi="Arial" w:cs="Arial"/>
          <w:bCs/>
        </w:rPr>
        <w:t>Mln</w:t>
      </w:r>
      <w:r w:rsidRPr="00C62050">
        <w:rPr>
          <w:rFonts w:ascii="Arial" w:hAnsi="Arial" w:cs="Arial"/>
          <w:bCs/>
        </w:rPr>
        <w:t xml:space="preserve">. These </w:t>
      </w:r>
      <w:r w:rsidR="00444690" w:rsidRPr="00C62050">
        <w:rPr>
          <w:rFonts w:ascii="Arial" w:hAnsi="Arial" w:cs="Arial"/>
          <w:bCs/>
        </w:rPr>
        <w:t>are automatically recogni</w:t>
      </w:r>
      <w:r w:rsidR="00231DF5" w:rsidRPr="00C62050">
        <w:rPr>
          <w:rFonts w:ascii="Arial" w:hAnsi="Arial" w:cs="Arial"/>
          <w:bCs/>
        </w:rPr>
        <w:t>s</w:t>
      </w:r>
      <w:r w:rsidR="00444690" w:rsidRPr="00C62050">
        <w:rPr>
          <w:rFonts w:ascii="Arial" w:hAnsi="Arial" w:cs="Arial"/>
          <w:bCs/>
        </w:rPr>
        <w:t>ed unde</w:t>
      </w:r>
      <w:r w:rsidR="00444690" w:rsidRPr="00172E62">
        <w:rPr>
          <w:rFonts w:ascii="Arial" w:hAnsi="Arial" w:cs="Arial"/>
          <w:bCs/>
        </w:rPr>
        <w:t>r Stage 2 rules and not rebuttable</w:t>
      </w:r>
      <w:r w:rsidRPr="00172E62">
        <w:rPr>
          <w:rFonts w:ascii="Arial" w:hAnsi="Arial" w:cs="Arial"/>
          <w:bCs/>
        </w:rPr>
        <w:t xml:space="preserve">. ECL </w:t>
      </w:r>
      <w:r w:rsidR="00444690" w:rsidRPr="00172E62">
        <w:rPr>
          <w:rFonts w:ascii="Arial" w:hAnsi="Arial" w:cs="Arial"/>
          <w:bCs/>
        </w:rPr>
        <w:t xml:space="preserve">impact is </w:t>
      </w:r>
      <w:r w:rsidRPr="00172E62">
        <w:rPr>
          <w:rFonts w:ascii="Arial" w:hAnsi="Arial" w:cs="Arial"/>
          <w:bCs/>
        </w:rPr>
        <w:t xml:space="preserve">QAR </w:t>
      </w:r>
      <w:r w:rsidR="00172E62" w:rsidRPr="00C62050">
        <w:rPr>
          <w:rFonts w:ascii="Arial" w:hAnsi="Arial" w:cs="Arial"/>
          <w:bCs/>
        </w:rPr>
        <w:t>147</w:t>
      </w:r>
      <w:r w:rsidR="000617E6" w:rsidRPr="00C62050">
        <w:rPr>
          <w:rFonts w:ascii="Arial" w:hAnsi="Arial" w:cs="Arial"/>
          <w:bCs/>
        </w:rPr>
        <w:t>k</w:t>
      </w:r>
      <w:r w:rsidRPr="00172E62">
        <w:rPr>
          <w:rFonts w:ascii="Arial" w:hAnsi="Arial" w:cs="Arial"/>
          <w:bCs/>
        </w:rPr>
        <w:t xml:space="preserve"> (</w:t>
      </w:r>
      <w:r w:rsidR="000617E6" w:rsidRPr="00C62050">
        <w:rPr>
          <w:rFonts w:ascii="Arial" w:hAnsi="Arial" w:cs="Arial"/>
          <w:bCs/>
        </w:rPr>
        <w:t>~2</w:t>
      </w:r>
      <w:r w:rsidR="00172E62" w:rsidRPr="00C62050">
        <w:rPr>
          <w:rFonts w:ascii="Arial" w:hAnsi="Arial" w:cs="Arial"/>
          <w:bCs/>
        </w:rPr>
        <w:t>4</w:t>
      </w:r>
      <w:r w:rsidR="000617E6" w:rsidRPr="00C62050">
        <w:rPr>
          <w:rFonts w:ascii="Arial" w:hAnsi="Arial" w:cs="Arial"/>
          <w:bCs/>
        </w:rPr>
        <w:t>bps</w:t>
      </w:r>
      <w:r w:rsidRPr="00172E62">
        <w:rPr>
          <w:rFonts w:ascii="Arial" w:hAnsi="Arial" w:cs="Arial"/>
          <w:bCs/>
        </w:rPr>
        <w:t>).</w:t>
      </w:r>
    </w:p>
    <w:p w14:paraId="13F71AF4" w14:textId="5288914E" w:rsidR="00477BBD" w:rsidRPr="00972CEE" w:rsidRDefault="00477BBD" w:rsidP="00477BBD">
      <w:pPr>
        <w:pStyle w:val="Heading2"/>
        <w:keepNext w:val="0"/>
        <w:keepLines w:val="0"/>
        <w:widowControl w:val="0"/>
        <w:spacing w:before="240" w:after="240" w:line="240" w:lineRule="auto"/>
        <w:ind w:left="567" w:hanging="567"/>
        <w:jc w:val="both"/>
        <w:rPr>
          <w:rFonts w:eastAsia="Calibri" w:cs="Arial"/>
          <w:lang w:val="en-IN"/>
        </w:rPr>
      </w:pPr>
      <w:r>
        <w:rPr>
          <w:rFonts w:eastAsia="Calibri" w:cs="Arial"/>
          <w:lang w:val="en-IN"/>
        </w:rPr>
        <w:t>Rule #3: Rescheduling of Credit</w:t>
      </w:r>
    </w:p>
    <w:p w14:paraId="431DB2FB" w14:textId="77777777" w:rsidR="007D05CC" w:rsidRPr="00C62050" w:rsidRDefault="007D05CC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lang w:val="en-US" w:eastAsia="en-US"/>
        </w:rPr>
      </w:pPr>
      <w:r w:rsidRPr="00C62050">
        <w:rPr>
          <w:rFonts w:eastAsiaTheme="minorHAnsi"/>
          <w:b/>
          <w:bCs/>
          <w:lang w:val="en-US" w:eastAsia="en-US"/>
        </w:rPr>
        <w:t>Definition</w:t>
      </w:r>
    </w:p>
    <w:p w14:paraId="656812C9" w14:textId="24E9068E" w:rsidR="007D05CC" w:rsidRPr="00C62050" w:rsidRDefault="007D05CC" w:rsidP="00C62050">
      <w:pPr>
        <w:spacing w:before="120" w:after="120"/>
        <w:ind w:right="4"/>
        <w:jc w:val="both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>All loans modified strictly due to credit concerns (as opposed to those that are modified for commercial reasons) should be moved from Stage 1 to Stage 2</w:t>
      </w:r>
      <w:r w:rsidR="00170940">
        <w:rPr>
          <w:rStyle w:val="FootnoteReference"/>
          <w:rFonts w:ascii="Arial" w:hAnsi="Arial" w:cs="Arial"/>
          <w:szCs w:val="20"/>
        </w:rPr>
        <w:footnoteReference w:id="4"/>
      </w:r>
      <w:r w:rsidRPr="00C62050">
        <w:rPr>
          <w:rFonts w:ascii="Arial" w:hAnsi="Arial" w:cs="Arial"/>
          <w:szCs w:val="20"/>
        </w:rPr>
        <w:t xml:space="preserve">. At QNB these modifications are </w:t>
      </w:r>
      <w:r w:rsidR="00707A55" w:rsidRPr="00C62050">
        <w:rPr>
          <w:rFonts w:ascii="Arial" w:hAnsi="Arial" w:cs="Arial"/>
          <w:szCs w:val="20"/>
        </w:rPr>
        <w:t>identified</w:t>
      </w:r>
      <w:r w:rsidRPr="00C62050">
        <w:rPr>
          <w:rFonts w:ascii="Arial" w:hAnsi="Arial" w:cs="Arial"/>
          <w:szCs w:val="20"/>
        </w:rPr>
        <w:t xml:space="preserve"> as </w:t>
      </w:r>
      <w:r w:rsidR="00477BBD" w:rsidRPr="00C62050">
        <w:rPr>
          <w:rFonts w:ascii="Arial" w:hAnsi="Arial" w:cs="Arial"/>
          <w:szCs w:val="20"/>
        </w:rPr>
        <w:t>“</w:t>
      </w:r>
      <w:r w:rsidRPr="00C62050">
        <w:rPr>
          <w:rFonts w:ascii="Arial" w:hAnsi="Arial" w:cs="Arial"/>
          <w:szCs w:val="20"/>
        </w:rPr>
        <w:t>rescheduling</w:t>
      </w:r>
      <w:r w:rsidR="00477BBD" w:rsidRPr="00C62050">
        <w:rPr>
          <w:rFonts w:ascii="Arial" w:hAnsi="Arial" w:cs="Arial"/>
          <w:szCs w:val="20"/>
        </w:rPr>
        <w:t>” as defined in QCB regulations</w:t>
      </w:r>
      <w:r w:rsidR="00690D11" w:rsidRPr="00C62050">
        <w:rPr>
          <w:rFonts w:ascii="Arial" w:hAnsi="Arial" w:cs="Arial"/>
          <w:szCs w:val="20"/>
        </w:rPr>
        <w:t xml:space="preserve">. </w:t>
      </w:r>
      <w:r w:rsidR="00231DF5" w:rsidRPr="00C62050">
        <w:rPr>
          <w:rFonts w:ascii="Arial" w:hAnsi="Arial" w:cs="Arial"/>
          <w:szCs w:val="20"/>
        </w:rPr>
        <w:t>Rescheduling occurs when (</w:t>
      </w:r>
      <w:proofErr w:type="spellStart"/>
      <w:r w:rsidR="00231DF5" w:rsidRPr="00C62050">
        <w:rPr>
          <w:rFonts w:ascii="Arial" w:hAnsi="Arial" w:cs="Arial"/>
          <w:szCs w:val="20"/>
        </w:rPr>
        <w:t>i</w:t>
      </w:r>
      <w:proofErr w:type="spellEnd"/>
      <w:r w:rsidR="00231DF5" w:rsidRPr="00C62050">
        <w:rPr>
          <w:rFonts w:ascii="Arial" w:hAnsi="Arial" w:cs="Arial"/>
          <w:szCs w:val="20"/>
        </w:rPr>
        <w:t>) the customer’s financial position has deteriorated and is likely to experience difficulty in meeting its obligations, and (ii) where QNB has granted concessionary terms to the customer that wou</w:t>
      </w:r>
      <w:r w:rsidR="00690D11" w:rsidRPr="00C62050">
        <w:rPr>
          <w:rFonts w:ascii="Arial" w:hAnsi="Arial" w:cs="Arial"/>
          <w:szCs w:val="20"/>
        </w:rPr>
        <w:t>ld not normally be available, such as:</w:t>
      </w:r>
      <w:r w:rsidR="00231DF5" w:rsidRPr="00C62050">
        <w:rPr>
          <w:rFonts w:ascii="Arial" w:hAnsi="Arial" w:cs="Arial"/>
          <w:szCs w:val="20"/>
        </w:rPr>
        <w:t xml:space="preserve"> </w:t>
      </w:r>
      <w:r w:rsidR="00690D11" w:rsidRPr="00C62050">
        <w:rPr>
          <w:rFonts w:ascii="Arial" w:hAnsi="Arial" w:cs="Arial"/>
          <w:szCs w:val="20"/>
        </w:rPr>
        <w:t xml:space="preserve">repayment rescheduling, </w:t>
      </w:r>
      <w:r w:rsidR="00231DF5" w:rsidRPr="00C62050">
        <w:rPr>
          <w:rFonts w:ascii="Arial" w:hAnsi="Arial" w:cs="Arial"/>
          <w:szCs w:val="20"/>
        </w:rPr>
        <w:t>extending</w:t>
      </w:r>
      <w:r w:rsidR="00690D11" w:rsidRPr="00C62050">
        <w:rPr>
          <w:rFonts w:ascii="Arial" w:hAnsi="Arial" w:cs="Arial"/>
          <w:szCs w:val="20"/>
        </w:rPr>
        <w:t xml:space="preserve"> the term of the</w:t>
      </w:r>
      <w:r w:rsidR="00231DF5" w:rsidRPr="00C62050">
        <w:rPr>
          <w:rFonts w:ascii="Arial" w:hAnsi="Arial" w:cs="Arial"/>
          <w:szCs w:val="20"/>
        </w:rPr>
        <w:t xml:space="preserve"> loan, capitalization of arrears, granting payment</w:t>
      </w:r>
      <w:r w:rsidR="00690D11" w:rsidRPr="00C62050">
        <w:rPr>
          <w:rFonts w:ascii="Arial" w:hAnsi="Arial" w:cs="Arial"/>
          <w:szCs w:val="20"/>
        </w:rPr>
        <w:t xml:space="preserve"> </w:t>
      </w:r>
      <w:r w:rsidR="00231DF5" w:rsidRPr="00C62050">
        <w:rPr>
          <w:rFonts w:ascii="Arial" w:hAnsi="Arial" w:cs="Arial"/>
          <w:szCs w:val="20"/>
        </w:rPr>
        <w:t>holiday</w:t>
      </w:r>
      <w:r w:rsidR="00690D11" w:rsidRPr="00C62050">
        <w:rPr>
          <w:rFonts w:ascii="Arial" w:hAnsi="Arial" w:cs="Arial"/>
          <w:szCs w:val="20"/>
        </w:rPr>
        <w:t>, relaxation of collateral terms or other covenants</w:t>
      </w:r>
      <w:r w:rsidR="00231DF5" w:rsidRPr="00C62050">
        <w:rPr>
          <w:rFonts w:ascii="Arial" w:hAnsi="Arial" w:cs="Arial"/>
          <w:szCs w:val="20"/>
        </w:rPr>
        <w:t xml:space="preserve"> etc.</w:t>
      </w:r>
    </w:p>
    <w:p w14:paraId="64A58D6C" w14:textId="77777777" w:rsidR="007D05CC" w:rsidRPr="00C62050" w:rsidRDefault="007D05CC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lang w:val="en-US" w:eastAsia="en-US"/>
        </w:rPr>
      </w:pPr>
      <w:r w:rsidRPr="00C62050">
        <w:rPr>
          <w:rFonts w:eastAsiaTheme="minorHAnsi"/>
          <w:b/>
          <w:lang w:val="en-US"/>
        </w:rPr>
        <w:t xml:space="preserve">Rationale </w:t>
      </w:r>
    </w:p>
    <w:p w14:paraId="3E2F515C" w14:textId="00F03246" w:rsidR="007D05CC" w:rsidRPr="00C62050" w:rsidRDefault="007D05CC">
      <w:pPr>
        <w:spacing w:before="120" w:after="120"/>
        <w:ind w:right="4"/>
        <w:jc w:val="both"/>
        <w:rPr>
          <w:rFonts w:ascii="Arial" w:hAnsi="Arial" w:cs="Arial"/>
          <w:szCs w:val="20"/>
        </w:rPr>
      </w:pPr>
      <w:r w:rsidRPr="00C62050">
        <w:rPr>
          <w:rFonts w:ascii="Arial" w:hAnsi="Arial" w:cs="Arial"/>
          <w:szCs w:val="20"/>
        </w:rPr>
        <w:t xml:space="preserve">From </w:t>
      </w:r>
      <w:r w:rsidR="008711BF" w:rsidRPr="00C62050">
        <w:rPr>
          <w:rFonts w:ascii="Arial" w:hAnsi="Arial" w:cs="Arial"/>
          <w:szCs w:val="20"/>
        </w:rPr>
        <w:t xml:space="preserve">an </w:t>
      </w:r>
      <w:r w:rsidRPr="00C62050">
        <w:rPr>
          <w:rFonts w:ascii="Arial" w:hAnsi="Arial" w:cs="Arial"/>
          <w:szCs w:val="20"/>
        </w:rPr>
        <w:t xml:space="preserve">IFRS9 standpoint banks need to identify modification of assets due to commercial reasons, credit stress or financial difficulty and treat each case differently. </w:t>
      </w:r>
      <w:r w:rsidR="008711BF" w:rsidRPr="00C62050">
        <w:rPr>
          <w:rFonts w:ascii="Arial" w:hAnsi="Arial" w:cs="Arial"/>
          <w:szCs w:val="20"/>
        </w:rPr>
        <w:t xml:space="preserve">QNB’s views regarding this matter, leading to the tagging of </w:t>
      </w:r>
      <w:r w:rsidR="00690D11" w:rsidRPr="00C62050">
        <w:rPr>
          <w:rFonts w:ascii="Arial" w:hAnsi="Arial" w:cs="Arial"/>
          <w:szCs w:val="20"/>
        </w:rPr>
        <w:t>“</w:t>
      </w:r>
      <w:r w:rsidR="008711BF" w:rsidRPr="00C62050">
        <w:rPr>
          <w:rFonts w:ascii="Arial" w:hAnsi="Arial" w:cs="Arial"/>
          <w:szCs w:val="20"/>
        </w:rPr>
        <w:t>rescheduling</w:t>
      </w:r>
      <w:r w:rsidR="00690D11" w:rsidRPr="00C62050">
        <w:rPr>
          <w:rFonts w:ascii="Arial" w:hAnsi="Arial" w:cs="Arial"/>
          <w:szCs w:val="20"/>
        </w:rPr>
        <w:t>”</w:t>
      </w:r>
      <w:r w:rsidR="008711BF" w:rsidRPr="00C62050">
        <w:rPr>
          <w:rFonts w:ascii="Arial" w:hAnsi="Arial" w:cs="Arial"/>
          <w:szCs w:val="20"/>
        </w:rPr>
        <w:t xml:space="preserve"> of loans as Stage 2, are detailed in the T</w:t>
      </w:r>
      <w:r w:rsidR="007943DF" w:rsidRPr="00C62050">
        <w:rPr>
          <w:rFonts w:ascii="Arial" w:hAnsi="Arial" w:cs="Arial"/>
          <w:szCs w:val="20"/>
        </w:rPr>
        <w:t xml:space="preserve">echnical </w:t>
      </w:r>
      <w:r w:rsidR="008711BF" w:rsidRPr="00C62050">
        <w:rPr>
          <w:rFonts w:ascii="Arial" w:hAnsi="Arial" w:cs="Arial"/>
          <w:szCs w:val="20"/>
        </w:rPr>
        <w:t>I</w:t>
      </w:r>
      <w:r w:rsidR="007943DF" w:rsidRPr="00C62050">
        <w:rPr>
          <w:rFonts w:ascii="Arial" w:hAnsi="Arial" w:cs="Arial"/>
          <w:szCs w:val="20"/>
        </w:rPr>
        <w:t xml:space="preserve">nterpretation </w:t>
      </w:r>
      <w:r w:rsidR="008711BF" w:rsidRPr="00C62050">
        <w:rPr>
          <w:rFonts w:ascii="Arial" w:hAnsi="Arial" w:cs="Arial"/>
          <w:szCs w:val="20"/>
        </w:rPr>
        <w:t>N</w:t>
      </w:r>
      <w:r w:rsidR="007943DF" w:rsidRPr="00C62050">
        <w:rPr>
          <w:rFonts w:ascii="Arial" w:hAnsi="Arial" w:cs="Arial"/>
          <w:szCs w:val="20"/>
        </w:rPr>
        <w:t xml:space="preserve">ote </w:t>
      </w:r>
      <w:r w:rsidR="008711BF" w:rsidRPr="00C62050">
        <w:rPr>
          <w:rFonts w:ascii="Arial" w:hAnsi="Arial" w:cs="Arial"/>
          <w:szCs w:val="20"/>
        </w:rPr>
        <w:t xml:space="preserve">- </w:t>
      </w:r>
      <w:r w:rsidR="007943DF" w:rsidRPr="00C62050">
        <w:rPr>
          <w:rFonts w:ascii="Arial" w:hAnsi="Arial" w:cs="Arial"/>
          <w:szCs w:val="20"/>
        </w:rPr>
        <w:t>“</w:t>
      </w:r>
      <w:r w:rsidR="00005691" w:rsidRPr="00C62050">
        <w:rPr>
          <w:rFonts w:ascii="Arial" w:hAnsi="Arial" w:cs="Arial"/>
          <w:szCs w:val="20"/>
        </w:rPr>
        <w:t>M</w:t>
      </w:r>
      <w:r w:rsidR="00C25974" w:rsidRPr="00C62050">
        <w:rPr>
          <w:rFonts w:ascii="Arial" w:hAnsi="Arial" w:cs="Arial"/>
          <w:szCs w:val="20"/>
        </w:rPr>
        <w:t xml:space="preserve">odification of </w:t>
      </w:r>
      <w:r w:rsidR="00005691" w:rsidRPr="00C62050">
        <w:rPr>
          <w:rFonts w:ascii="Arial" w:hAnsi="Arial" w:cs="Arial"/>
          <w:szCs w:val="20"/>
        </w:rPr>
        <w:t>A</w:t>
      </w:r>
      <w:r w:rsidR="00C25974" w:rsidRPr="00C62050">
        <w:rPr>
          <w:rFonts w:ascii="Arial" w:hAnsi="Arial" w:cs="Arial"/>
          <w:szCs w:val="20"/>
        </w:rPr>
        <w:t>ssets</w:t>
      </w:r>
      <w:r w:rsidR="007943DF" w:rsidRPr="00C62050">
        <w:rPr>
          <w:rFonts w:ascii="Arial" w:hAnsi="Arial" w:cs="Arial"/>
          <w:szCs w:val="20"/>
        </w:rPr>
        <w:t>”</w:t>
      </w:r>
      <w:r w:rsidR="00C25974" w:rsidRPr="00C62050">
        <w:rPr>
          <w:rFonts w:ascii="Arial" w:hAnsi="Arial" w:cs="Arial"/>
          <w:szCs w:val="20"/>
        </w:rPr>
        <w:t>.</w:t>
      </w:r>
    </w:p>
    <w:p w14:paraId="6330AE48" w14:textId="77777777" w:rsidR="00CE382F" w:rsidRDefault="00CE382F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lang w:val="en-US" w:eastAsia="en-US"/>
        </w:rPr>
      </w:pPr>
    </w:p>
    <w:p w14:paraId="38510A31" w14:textId="77777777" w:rsidR="007D05CC" w:rsidRPr="00C62050" w:rsidRDefault="007D05CC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lang w:val="en-US" w:eastAsia="en-US"/>
        </w:rPr>
      </w:pPr>
      <w:r w:rsidRPr="00C62050">
        <w:rPr>
          <w:rFonts w:eastAsiaTheme="minorHAnsi"/>
          <w:b/>
          <w:bCs/>
          <w:lang w:val="en-US" w:eastAsia="en-US"/>
        </w:rPr>
        <w:lastRenderedPageBreak/>
        <w:t xml:space="preserve">Potential Impact / Implications </w:t>
      </w:r>
    </w:p>
    <w:p w14:paraId="3AE18996" w14:textId="77D69B3A" w:rsidR="007A3D3D" w:rsidRPr="00C62050" w:rsidRDefault="007A3D3D" w:rsidP="007A3D3D">
      <w:pPr>
        <w:spacing w:before="120" w:after="120"/>
        <w:jc w:val="both"/>
        <w:rPr>
          <w:rFonts w:ascii="Arial" w:hAnsi="Arial" w:cs="Arial"/>
          <w:color w:val="FF0000"/>
          <w:szCs w:val="20"/>
        </w:rPr>
      </w:pPr>
      <w:r w:rsidRPr="00C62050">
        <w:rPr>
          <w:rFonts w:ascii="Arial" w:hAnsi="Arial" w:cs="Arial"/>
          <w:bCs/>
          <w:szCs w:val="20"/>
        </w:rPr>
        <w:t>As at March 2017, the total extent of rescheduled exposure for Qatar comprised 29 individual customers with total facilities exposures (EAD) amounting to QAR 5.94Bln.</w:t>
      </w:r>
      <w:r w:rsidR="00170940" w:rsidRPr="00172E62">
        <w:rPr>
          <w:rStyle w:val="FootnoteReference"/>
          <w:rFonts w:ascii="Arial" w:hAnsi="Arial" w:cs="Arial"/>
          <w:bCs/>
          <w:szCs w:val="20"/>
        </w:rPr>
        <w:footnoteReference w:id="5"/>
      </w:r>
      <w:r w:rsidRPr="00C62050">
        <w:rPr>
          <w:rFonts w:ascii="Arial" w:hAnsi="Arial" w:cs="Arial"/>
          <w:bCs/>
          <w:szCs w:val="20"/>
        </w:rPr>
        <w:t xml:space="preserve"> These are automatically recognized under Stage 2 rules and not rebuttable. ECL impact is QAR 20.6Mln (~35bps).</w:t>
      </w:r>
    </w:p>
    <w:p w14:paraId="641E6868" w14:textId="6358019B" w:rsidR="00690D11" w:rsidRPr="00972CEE" w:rsidRDefault="00690D11">
      <w:pPr>
        <w:pStyle w:val="Heading2"/>
        <w:keepNext w:val="0"/>
        <w:keepLines w:val="0"/>
        <w:widowControl w:val="0"/>
        <w:spacing w:before="240" w:after="240" w:line="240" w:lineRule="auto"/>
        <w:ind w:left="567" w:hanging="567"/>
        <w:jc w:val="both"/>
        <w:rPr>
          <w:rFonts w:eastAsia="Calibri" w:cs="Arial"/>
          <w:lang w:val="en-IN"/>
        </w:rPr>
      </w:pPr>
      <w:r>
        <w:rPr>
          <w:rFonts w:eastAsia="Calibri" w:cs="Arial"/>
          <w:lang w:val="en-IN"/>
        </w:rPr>
        <w:t>Rule #4: Watch List</w:t>
      </w:r>
    </w:p>
    <w:p w14:paraId="11096596" w14:textId="77777777" w:rsidR="001B0874" w:rsidRPr="00972CEE" w:rsidRDefault="001B0874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>Definition</w:t>
      </w:r>
    </w:p>
    <w:p w14:paraId="308AEB7B" w14:textId="2D0C24B7" w:rsidR="001B0874" w:rsidRPr="00972CEE" w:rsidRDefault="001B0874">
      <w:pPr>
        <w:spacing w:before="120" w:after="120"/>
        <w:rPr>
          <w:rFonts w:ascii="Arial" w:hAnsi="Arial" w:cs="Arial"/>
        </w:rPr>
      </w:pPr>
      <w:r w:rsidRPr="00972CEE">
        <w:rPr>
          <w:rFonts w:ascii="Arial" w:hAnsi="Arial" w:cs="Arial"/>
        </w:rPr>
        <w:t xml:space="preserve">Currently at QNB, loans are identified </w:t>
      </w:r>
      <w:r w:rsidR="003A5AB4">
        <w:rPr>
          <w:rFonts w:ascii="Arial" w:hAnsi="Arial" w:cs="Arial"/>
        </w:rPr>
        <w:t>as being on</w:t>
      </w:r>
      <w:r w:rsidRPr="00972CEE">
        <w:rPr>
          <w:rFonts w:ascii="Arial" w:hAnsi="Arial" w:cs="Arial"/>
        </w:rPr>
        <w:t xml:space="preserve"> the watch-list based on ORRs of ‘7-’, ‘7’ and ‘7+’. It is </w:t>
      </w:r>
      <w:r w:rsidR="00C7501E">
        <w:rPr>
          <w:rFonts w:ascii="Arial" w:hAnsi="Arial" w:cs="Arial"/>
        </w:rPr>
        <w:t xml:space="preserve">essential </w:t>
      </w:r>
      <w:r w:rsidRPr="00972CEE">
        <w:rPr>
          <w:rFonts w:ascii="Arial" w:hAnsi="Arial" w:cs="Arial"/>
        </w:rPr>
        <w:t xml:space="preserve">that these customers are placed in Stage 2 given that </w:t>
      </w:r>
      <w:r w:rsidR="00FA6479">
        <w:rPr>
          <w:rFonts w:ascii="Arial" w:hAnsi="Arial" w:cs="Arial"/>
        </w:rPr>
        <w:t xml:space="preserve">facilities of these customers would implicitly indicate </w:t>
      </w:r>
      <w:r w:rsidRPr="00972CEE">
        <w:rPr>
          <w:rFonts w:ascii="Arial" w:hAnsi="Arial" w:cs="Arial"/>
        </w:rPr>
        <w:t xml:space="preserve">a high </w:t>
      </w:r>
      <w:r w:rsidR="00FA6479">
        <w:rPr>
          <w:rFonts w:ascii="Arial" w:hAnsi="Arial" w:cs="Arial"/>
        </w:rPr>
        <w:t xml:space="preserve">probability </w:t>
      </w:r>
      <w:r w:rsidRPr="00972CEE">
        <w:rPr>
          <w:rFonts w:ascii="Arial" w:hAnsi="Arial" w:cs="Arial"/>
        </w:rPr>
        <w:t>of default.</w:t>
      </w:r>
    </w:p>
    <w:p w14:paraId="5C78AC2B" w14:textId="77777777" w:rsidR="001B0874" w:rsidRPr="00972CEE" w:rsidRDefault="001B0874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 xml:space="preserve">Rationale </w:t>
      </w:r>
    </w:p>
    <w:p w14:paraId="1C71C956" w14:textId="77777777" w:rsidR="001B0874" w:rsidRPr="00972CEE" w:rsidRDefault="001B0874" w:rsidP="00C62050">
      <w:pPr>
        <w:spacing w:before="120" w:after="120"/>
        <w:jc w:val="both"/>
        <w:rPr>
          <w:rFonts w:ascii="Arial" w:hAnsi="Arial" w:cs="Arial"/>
        </w:rPr>
      </w:pPr>
      <w:r w:rsidRPr="00972CEE">
        <w:rPr>
          <w:rFonts w:ascii="Arial" w:hAnsi="Arial" w:cs="Arial"/>
        </w:rPr>
        <w:t xml:space="preserve">As per the Master Scale, ORRs of ‘7-’, ‘7’ and ‘7+’ are placed right before the default grades of 8, 9 and 10. As stated earlier, these customers have the highest potential of moving to the default grades and hence placing them in Stage 2 ensures that the management of credit risk is active, timely and risk sensitive. </w:t>
      </w:r>
    </w:p>
    <w:p w14:paraId="08F025FA" w14:textId="77777777" w:rsidR="001B0874" w:rsidRPr="00972CEE" w:rsidRDefault="001B0874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 xml:space="preserve">Potential Impact / Implications </w:t>
      </w:r>
    </w:p>
    <w:p w14:paraId="1404FED8" w14:textId="09FAB13F" w:rsidR="007A3D3D" w:rsidRPr="00972CEE" w:rsidRDefault="007A3D3D" w:rsidP="007A3D3D">
      <w:pPr>
        <w:spacing w:before="120" w:after="120"/>
        <w:jc w:val="both"/>
        <w:rPr>
          <w:rFonts w:ascii="Arial" w:hAnsi="Arial" w:cs="Arial"/>
          <w:color w:val="FF0000"/>
        </w:rPr>
      </w:pPr>
      <w:r w:rsidRPr="00172E62">
        <w:rPr>
          <w:rFonts w:ascii="Arial" w:hAnsi="Arial" w:cs="Arial"/>
          <w:bCs/>
        </w:rPr>
        <w:t xml:space="preserve">As at March 2017, the total extent of Watchlist exposure for Qatar comprised 18 individual customers  </w:t>
      </w:r>
      <w:r w:rsidRPr="00C62050">
        <w:rPr>
          <w:rFonts w:ascii="Arial" w:hAnsi="Arial" w:cs="Arial"/>
          <w:bCs/>
        </w:rPr>
        <w:t xml:space="preserve">with total facilities exposures (EAD) amounting to QAR 1.2Bln. These are automatically recognized under Stage 2 rules and </w:t>
      </w:r>
      <w:r w:rsidR="003A5AB4" w:rsidRPr="00172E62">
        <w:rPr>
          <w:rFonts w:ascii="Arial" w:hAnsi="Arial" w:cs="Arial"/>
          <w:bCs/>
        </w:rPr>
        <w:t xml:space="preserve">are </w:t>
      </w:r>
      <w:r w:rsidRPr="00172E62">
        <w:rPr>
          <w:rFonts w:ascii="Arial" w:hAnsi="Arial" w:cs="Arial"/>
          <w:bCs/>
        </w:rPr>
        <w:t xml:space="preserve">not rebuttable. ECL impact is QAR </w:t>
      </w:r>
      <w:r w:rsidRPr="00C62050">
        <w:rPr>
          <w:rFonts w:ascii="Arial" w:hAnsi="Arial" w:cs="Arial"/>
          <w:bCs/>
        </w:rPr>
        <w:t>199.6Mln (~16.7%).</w:t>
      </w:r>
    </w:p>
    <w:p w14:paraId="34AC7235" w14:textId="7DA6B62A" w:rsidR="003A5AB4" w:rsidRPr="00972CEE" w:rsidRDefault="005B414D" w:rsidP="003A5AB4">
      <w:pPr>
        <w:pStyle w:val="Heading2"/>
        <w:keepNext w:val="0"/>
        <w:keepLines w:val="0"/>
        <w:widowControl w:val="0"/>
        <w:spacing w:before="240" w:after="240" w:line="240" w:lineRule="auto"/>
        <w:ind w:left="567" w:hanging="567"/>
        <w:jc w:val="both"/>
        <w:rPr>
          <w:rFonts w:eastAsia="Calibri" w:cs="Arial"/>
          <w:lang w:val="en-IN"/>
        </w:rPr>
      </w:pPr>
      <w:r>
        <w:rPr>
          <w:rFonts w:eastAsia="Calibri" w:cs="Arial"/>
          <w:lang w:val="en-IN"/>
        </w:rPr>
        <w:t>Rule #5</w:t>
      </w:r>
      <w:r w:rsidR="003A5AB4">
        <w:rPr>
          <w:rFonts w:eastAsia="Calibri" w:cs="Arial"/>
          <w:lang w:val="en-IN"/>
        </w:rPr>
        <w:t>: Rating</w:t>
      </w:r>
      <w:r w:rsidR="003A5AB4" w:rsidRPr="00C62050">
        <w:rPr>
          <w:rFonts w:eastAsia="Calibri" w:cs="Arial"/>
          <w:iCs/>
          <w:sz w:val="24"/>
          <w:lang w:val="en-IN"/>
        </w:rPr>
        <w:t xml:space="preserve"> Downgrade</w:t>
      </w:r>
      <w:r w:rsidR="003A5AB4" w:rsidRPr="00C74216">
        <w:rPr>
          <w:rFonts w:eastAsia="Calibri" w:cs="Arial"/>
          <w:b w:val="0"/>
          <w:i/>
          <w:sz w:val="24"/>
          <w:vertAlign w:val="superscript"/>
          <w:lang w:val="en-IN"/>
        </w:rPr>
        <w:footnoteReference w:id="6"/>
      </w:r>
    </w:p>
    <w:p w14:paraId="415DB709" w14:textId="77777777" w:rsidR="007B0443" w:rsidRPr="00972CEE" w:rsidRDefault="007B0443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>Definition</w:t>
      </w:r>
    </w:p>
    <w:p w14:paraId="4343A079" w14:textId="5BD43C0B" w:rsidR="007B0443" w:rsidRPr="00972CEE" w:rsidRDefault="007B0443" w:rsidP="00C62050">
      <w:pPr>
        <w:spacing w:before="120" w:after="120"/>
        <w:jc w:val="both"/>
        <w:rPr>
          <w:rFonts w:ascii="Arial" w:hAnsi="Arial" w:cs="Arial"/>
        </w:rPr>
      </w:pPr>
      <w:r w:rsidRPr="00972CEE">
        <w:rPr>
          <w:rFonts w:ascii="Arial" w:hAnsi="Arial" w:cs="Arial"/>
        </w:rPr>
        <w:t xml:space="preserve">A </w:t>
      </w:r>
      <w:r w:rsidR="006954D7">
        <w:rPr>
          <w:rFonts w:ascii="Arial" w:hAnsi="Arial" w:cs="Arial"/>
        </w:rPr>
        <w:t>customer</w:t>
      </w:r>
      <w:r w:rsidRPr="00972CEE">
        <w:rPr>
          <w:rFonts w:ascii="Arial" w:hAnsi="Arial" w:cs="Arial"/>
        </w:rPr>
        <w:t xml:space="preserve"> who exhibits deterioration in risk rating over the lifetime or tenure of </w:t>
      </w:r>
      <w:r w:rsidR="006954D7">
        <w:rPr>
          <w:rFonts w:ascii="Arial" w:hAnsi="Arial" w:cs="Arial"/>
        </w:rPr>
        <w:t>the</w:t>
      </w:r>
      <w:r w:rsidRPr="00972CEE">
        <w:rPr>
          <w:rFonts w:ascii="Arial" w:hAnsi="Arial" w:cs="Arial"/>
        </w:rPr>
        <w:t xml:space="preserve"> credit facility</w:t>
      </w:r>
      <w:r w:rsidR="006954D7">
        <w:rPr>
          <w:rFonts w:ascii="Arial" w:hAnsi="Arial" w:cs="Arial"/>
        </w:rPr>
        <w:t xml:space="preserve"> granted</w:t>
      </w:r>
      <w:r w:rsidRPr="00972CEE">
        <w:rPr>
          <w:rFonts w:ascii="Arial" w:hAnsi="Arial" w:cs="Arial"/>
        </w:rPr>
        <w:t xml:space="preserve">, has to be moved to Stage 2. </w:t>
      </w:r>
      <w:r w:rsidR="003A5AB4">
        <w:rPr>
          <w:rFonts w:ascii="Arial" w:hAnsi="Arial" w:cs="Arial"/>
        </w:rPr>
        <w:t>This stag</w:t>
      </w:r>
      <w:r w:rsidR="004C5CD7">
        <w:rPr>
          <w:rFonts w:ascii="Arial" w:hAnsi="Arial" w:cs="Arial"/>
        </w:rPr>
        <w:t>ing</w:t>
      </w:r>
      <w:r w:rsidR="003A5AB4">
        <w:rPr>
          <w:rFonts w:ascii="Arial" w:hAnsi="Arial" w:cs="Arial"/>
        </w:rPr>
        <w:t xml:space="preserve"> rule applies at a customer leve</w:t>
      </w:r>
      <w:r w:rsidR="004C5CD7">
        <w:rPr>
          <w:rFonts w:ascii="Arial" w:hAnsi="Arial" w:cs="Arial"/>
        </w:rPr>
        <w:t>l, comparing the original Risk R</w:t>
      </w:r>
      <w:r w:rsidR="003A5AB4">
        <w:rPr>
          <w:rFonts w:ascii="Arial" w:hAnsi="Arial" w:cs="Arial"/>
        </w:rPr>
        <w:t xml:space="preserve">ating with the latest Risk Rating to assess for </w:t>
      </w:r>
      <w:r w:rsidR="003A5AB4" w:rsidRPr="00C62050">
        <w:rPr>
          <w:rFonts w:ascii="Arial" w:hAnsi="Arial" w:cs="Arial"/>
          <w:i/>
          <w:iCs/>
        </w:rPr>
        <w:t>significant increase in credit risk.</w:t>
      </w:r>
    </w:p>
    <w:p w14:paraId="14701162" w14:textId="77777777" w:rsidR="007B0443" w:rsidRPr="00972CEE" w:rsidRDefault="007B0443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 xml:space="preserve">Rationale </w:t>
      </w:r>
    </w:p>
    <w:p w14:paraId="2A57A4C2" w14:textId="7A277CDA" w:rsidR="007B0443" w:rsidRPr="00972CEE" w:rsidRDefault="007B0443" w:rsidP="00C62050">
      <w:pPr>
        <w:spacing w:before="120" w:after="120"/>
        <w:jc w:val="both"/>
        <w:rPr>
          <w:rFonts w:ascii="Arial" w:hAnsi="Arial" w:cs="Arial"/>
        </w:rPr>
      </w:pPr>
      <w:r w:rsidRPr="00972CEE">
        <w:rPr>
          <w:rFonts w:ascii="Arial" w:hAnsi="Arial" w:cs="Arial"/>
        </w:rPr>
        <w:t>IFRS9 requires comparison of default risk at the reporting date with the risk at origination</w:t>
      </w:r>
      <w:r w:rsidRPr="00972CEE">
        <w:rPr>
          <w:rStyle w:val="FootnoteReference"/>
          <w:rFonts w:ascii="Arial" w:hAnsi="Arial" w:cs="Arial"/>
        </w:rPr>
        <w:footnoteReference w:id="7"/>
      </w:r>
      <w:r w:rsidRPr="00972CEE">
        <w:rPr>
          <w:rFonts w:ascii="Arial" w:hAnsi="Arial" w:cs="Arial"/>
        </w:rPr>
        <w:t xml:space="preserve"> or initial recognition of the asset. If the credit quality of an exposure since origination has deteriorated beyond a certain threshold, the asset should move from Stage 1 to Stage 2. QCB has a </w:t>
      </w:r>
      <w:r w:rsidR="00C116CA" w:rsidRPr="00972CEE">
        <w:rPr>
          <w:rFonts w:ascii="Arial" w:hAnsi="Arial" w:cs="Arial"/>
        </w:rPr>
        <w:t>comparable</w:t>
      </w:r>
      <w:r w:rsidRPr="00972CEE">
        <w:rPr>
          <w:rFonts w:ascii="Arial" w:hAnsi="Arial" w:cs="Arial"/>
        </w:rPr>
        <w:t xml:space="preserve"> view on this</w:t>
      </w:r>
      <w:r w:rsidR="00605C25">
        <w:rPr>
          <w:rFonts w:ascii="Arial" w:hAnsi="Arial" w:cs="Arial"/>
        </w:rPr>
        <w:t xml:space="preserve"> matter</w:t>
      </w:r>
      <w:r w:rsidR="00170940">
        <w:rPr>
          <w:rFonts w:ascii="Arial" w:hAnsi="Arial" w:cs="Arial"/>
        </w:rPr>
        <w:t>, and specifically defines minimum ratings movements</w:t>
      </w:r>
      <w:r w:rsidR="004C5CD7">
        <w:rPr>
          <w:rFonts w:ascii="Arial" w:hAnsi="Arial" w:cs="Arial"/>
        </w:rPr>
        <w:t xml:space="preserve"> to be adopted by banks</w:t>
      </w:r>
      <w:r w:rsidR="00605C25">
        <w:rPr>
          <w:rFonts w:ascii="Arial" w:hAnsi="Arial" w:cs="Arial"/>
        </w:rPr>
        <w:t>:</w:t>
      </w:r>
    </w:p>
    <w:p w14:paraId="7F587D3D" w14:textId="269AEAC5" w:rsidR="00413109" w:rsidRDefault="0041310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02D508D" w14:textId="77777777" w:rsidR="007D05CC" w:rsidRPr="00972CEE" w:rsidRDefault="007D05CC" w:rsidP="00C62050">
      <w:pPr>
        <w:spacing w:before="120" w:after="120"/>
        <w:ind w:right="2754"/>
        <w:rPr>
          <w:rFonts w:ascii="Arial" w:hAnsi="Arial" w:cs="Arial"/>
        </w:rPr>
      </w:pPr>
    </w:p>
    <w:p w14:paraId="61EDCB20" w14:textId="48A4A473" w:rsidR="00CF35A5" w:rsidRDefault="004B42A8" w:rsidP="00C62050">
      <w:pPr>
        <w:framePr w:hSpace="180" w:wrap="around" w:vAnchor="text" w:hAnchor="text" w:xAlign="center" w:y="1"/>
        <w:tabs>
          <w:tab w:val="left" w:pos="8364"/>
        </w:tabs>
        <w:spacing w:before="120" w:after="120"/>
        <w:ind w:left="993" w:right="996"/>
        <w:suppressOverlap/>
        <w:jc w:val="both"/>
        <w:rPr>
          <w:rFonts w:ascii="Arial" w:eastAsia="Arial" w:hAnsi="Arial" w:cs="Arial"/>
          <w:b/>
          <w:sz w:val="18"/>
          <w:szCs w:val="20"/>
        </w:rPr>
      </w:pPr>
      <w:r w:rsidRPr="00972CEE">
        <w:rPr>
          <w:rFonts w:ascii="Arial" w:hAnsi="Arial" w:cs="Arial"/>
          <w:i/>
        </w:rPr>
        <w:t xml:space="preserve">“QCB requires banks to report how the significant deterioration in credit quality is determined. In all cases, QCB requires to consider the changes in credit quality grades as a minimum cause to determine any significant change in PD unless there is delay in payment of due </w:t>
      </w:r>
      <w:r w:rsidR="00D45C20" w:rsidRPr="00972CEE">
        <w:rPr>
          <w:rFonts w:ascii="Arial" w:hAnsi="Arial" w:cs="Arial"/>
          <w:i/>
        </w:rPr>
        <w:t>installments</w:t>
      </w:r>
      <w:r w:rsidRPr="00972CEE">
        <w:rPr>
          <w:rFonts w:ascii="Arial" w:hAnsi="Arial" w:cs="Arial"/>
          <w:i/>
        </w:rPr>
        <w:t xml:space="preserve"> is past due as indicated above</w:t>
      </w:r>
      <w:r w:rsidR="00CF35A5">
        <w:rPr>
          <w:rFonts w:ascii="Arial" w:hAnsi="Arial" w:cs="Arial"/>
          <w:i/>
        </w:rPr>
        <w:t>”</w:t>
      </w:r>
      <w:r w:rsidR="00CF35A5">
        <w:rPr>
          <w:rFonts w:ascii="Arial" w:eastAsia="Arial" w:hAnsi="Arial" w:cs="Arial"/>
          <w:b/>
          <w:sz w:val="18"/>
          <w:szCs w:val="20"/>
        </w:rPr>
        <w:t>”</w:t>
      </w:r>
    </w:p>
    <w:p w14:paraId="787BE52C" w14:textId="77777777" w:rsidR="00CF35A5" w:rsidRDefault="00CF35A5" w:rsidP="00C62050">
      <w:pPr>
        <w:framePr w:hSpace="180" w:wrap="around" w:vAnchor="text" w:hAnchor="text" w:xAlign="center" w:y="1"/>
        <w:tabs>
          <w:tab w:val="left" w:pos="8364"/>
        </w:tabs>
        <w:spacing w:before="120" w:after="120"/>
        <w:ind w:left="993" w:right="996"/>
        <w:suppressOverlap/>
        <w:jc w:val="both"/>
        <w:rPr>
          <w:rFonts w:ascii="Arial" w:eastAsia="Arial" w:hAnsi="Arial" w:cs="Arial"/>
          <w:b/>
          <w:sz w:val="18"/>
          <w:szCs w:val="20"/>
        </w:rPr>
      </w:pPr>
    </w:p>
    <w:tbl>
      <w:tblPr>
        <w:tblStyle w:val="TableGrid1"/>
        <w:tblpPr w:leftFromText="180" w:rightFromText="180" w:vertAnchor="text" w:tblpXSpec="center" w:tblpY="1"/>
        <w:tblOverlap w:val="never"/>
        <w:tblW w:w="0" w:type="auto"/>
        <w:tblInd w:w="216" w:type="dxa"/>
        <w:tblLook w:val="04A0" w:firstRow="1" w:lastRow="0" w:firstColumn="1" w:lastColumn="0" w:noHBand="0" w:noVBand="1"/>
      </w:tblPr>
      <w:tblGrid>
        <w:gridCol w:w="6555"/>
        <w:gridCol w:w="2805"/>
      </w:tblGrid>
      <w:tr w:rsidR="00CF35A5" w:rsidRPr="00972CEE" w14:paraId="0DC7C3AF" w14:textId="77777777" w:rsidTr="00C62050">
        <w:trPr>
          <w:trHeight w:val="785"/>
        </w:trPr>
        <w:tc>
          <w:tcPr>
            <w:tcW w:w="6555" w:type="dxa"/>
            <w:shd w:val="clear" w:color="auto" w:fill="FFC000"/>
          </w:tcPr>
          <w:p w14:paraId="3E747582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b/>
                <w:sz w:val="18"/>
                <w:szCs w:val="20"/>
              </w:rPr>
            </w:pPr>
            <w:r w:rsidRPr="00972CEE">
              <w:rPr>
                <w:rFonts w:ascii="Arial" w:eastAsia="Arial" w:hAnsi="Arial" w:cs="Arial"/>
                <w:b/>
                <w:sz w:val="18"/>
                <w:szCs w:val="20"/>
              </w:rPr>
              <w:t>Credit quality grade according to Moody’s rating scale at initial recognition – Stage 1</w:t>
            </w:r>
          </w:p>
        </w:tc>
        <w:tc>
          <w:tcPr>
            <w:tcW w:w="2805" w:type="dxa"/>
            <w:shd w:val="clear" w:color="auto" w:fill="FFC000"/>
          </w:tcPr>
          <w:p w14:paraId="14CCBEFE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b/>
                <w:sz w:val="18"/>
                <w:szCs w:val="20"/>
              </w:rPr>
            </w:pPr>
            <w:r w:rsidRPr="00972CEE">
              <w:rPr>
                <w:rFonts w:ascii="Arial" w:eastAsia="Arial" w:hAnsi="Arial" w:cs="Arial"/>
                <w:b/>
                <w:sz w:val="18"/>
                <w:szCs w:val="20"/>
              </w:rPr>
              <w:t>Significant change in credit quality grade</w:t>
            </w:r>
          </w:p>
        </w:tc>
      </w:tr>
      <w:tr w:rsidR="00CF35A5" w:rsidRPr="00972CEE" w14:paraId="41B81F8F" w14:textId="77777777" w:rsidTr="00C62050">
        <w:trPr>
          <w:trHeight w:val="398"/>
        </w:trPr>
        <w:tc>
          <w:tcPr>
            <w:tcW w:w="6555" w:type="dxa"/>
          </w:tcPr>
          <w:p w14:paraId="43AAC6E6" w14:textId="0194DD9E" w:rsidR="00CF35A5" w:rsidRPr="00972CEE" w:rsidRDefault="00CF35A5" w:rsidP="00C62050">
            <w:pPr>
              <w:spacing w:before="120" w:after="120"/>
              <w:jc w:val="center"/>
              <w:rPr>
                <w:rFonts w:ascii="Arial" w:eastAsia="Arial" w:hAnsi="Arial" w:cs="Arial"/>
                <w:sz w:val="18"/>
                <w:szCs w:val="20"/>
              </w:rPr>
            </w:pPr>
            <w:proofErr w:type="spellStart"/>
            <w:r w:rsidRPr="00972CEE">
              <w:rPr>
                <w:rFonts w:ascii="Arial" w:eastAsia="Arial" w:hAnsi="Arial" w:cs="Arial"/>
                <w:sz w:val="18"/>
                <w:szCs w:val="20"/>
              </w:rPr>
              <w:t>Aaa</w:t>
            </w:r>
            <w:proofErr w:type="spellEnd"/>
          </w:p>
        </w:tc>
        <w:tc>
          <w:tcPr>
            <w:tcW w:w="2805" w:type="dxa"/>
            <w:vMerge w:val="restart"/>
            <w:vAlign w:val="center"/>
          </w:tcPr>
          <w:p w14:paraId="099D337C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bCs/>
                <w:i/>
                <w:iCs/>
                <w:sz w:val="18"/>
                <w:szCs w:val="20"/>
              </w:rPr>
            </w:pPr>
            <w:r w:rsidRPr="00972CEE">
              <w:rPr>
                <w:rFonts w:ascii="Arial" w:eastAsia="Arial" w:hAnsi="Arial" w:cs="Arial"/>
                <w:sz w:val="18"/>
                <w:szCs w:val="20"/>
              </w:rPr>
              <w:t>Two notch downgrade</w:t>
            </w:r>
          </w:p>
          <w:p w14:paraId="6ECCCBEC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sz w:val="18"/>
                <w:szCs w:val="20"/>
              </w:rPr>
            </w:pPr>
          </w:p>
        </w:tc>
      </w:tr>
      <w:tr w:rsidR="00CF35A5" w:rsidRPr="00972CEE" w14:paraId="02A04363" w14:textId="77777777" w:rsidTr="00C62050">
        <w:trPr>
          <w:trHeight w:val="410"/>
        </w:trPr>
        <w:tc>
          <w:tcPr>
            <w:tcW w:w="6555" w:type="dxa"/>
          </w:tcPr>
          <w:p w14:paraId="4F9F9055" w14:textId="77777777" w:rsidR="00CF35A5" w:rsidRPr="00972CEE" w:rsidRDefault="00CF35A5" w:rsidP="00C62050">
            <w:pPr>
              <w:spacing w:before="120" w:after="120"/>
              <w:jc w:val="center"/>
              <w:rPr>
                <w:rFonts w:ascii="Arial" w:eastAsia="Arial" w:hAnsi="Arial" w:cs="Arial"/>
                <w:sz w:val="18"/>
                <w:szCs w:val="20"/>
                <w:rtl/>
              </w:rPr>
            </w:pPr>
            <w:proofErr w:type="spellStart"/>
            <w:r w:rsidRPr="00972CEE">
              <w:rPr>
                <w:rFonts w:ascii="Arial" w:eastAsia="Arial" w:hAnsi="Arial" w:cs="Arial"/>
                <w:sz w:val="18"/>
                <w:szCs w:val="20"/>
              </w:rPr>
              <w:t>Aa</w:t>
            </w:r>
            <w:proofErr w:type="spellEnd"/>
          </w:p>
        </w:tc>
        <w:tc>
          <w:tcPr>
            <w:tcW w:w="2805" w:type="dxa"/>
            <w:vMerge/>
          </w:tcPr>
          <w:p w14:paraId="3770EF7C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sz w:val="18"/>
                <w:szCs w:val="20"/>
                <w:rtl/>
              </w:rPr>
            </w:pPr>
          </w:p>
        </w:tc>
      </w:tr>
      <w:tr w:rsidR="00CF35A5" w:rsidRPr="00972CEE" w14:paraId="4AD73817" w14:textId="77777777" w:rsidTr="00C62050">
        <w:trPr>
          <w:trHeight w:val="421"/>
        </w:trPr>
        <w:tc>
          <w:tcPr>
            <w:tcW w:w="6555" w:type="dxa"/>
          </w:tcPr>
          <w:p w14:paraId="5945F08D" w14:textId="77777777" w:rsidR="00CF35A5" w:rsidRPr="00972CEE" w:rsidRDefault="00CF35A5" w:rsidP="00C62050">
            <w:pPr>
              <w:spacing w:before="120" w:after="120"/>
              <w:jc w:val="center"/>
              <w:rPr>
                <w:rFonts w:ascii="Arial" w:eastAsia="Arial" w:hAnsi="Arial" w:cs="Arial"/>
                <w:sz w:val="18"/>
                <w:szCs w:val="20"/>
                <w:rtl/>
              </w:rPr>
            </w:pPr>
            <w:r w:rsidRPr="00972CEE">
              <w:rPr>
                <w:rFonts w:ascii="Arial" w:eastAsia="Arial" w:hAnsi="Arial" w:cs="Arial"/>
                <w:sz w:val="18"/>
                <w:szCs w:val="20"/>
                <w:rtl/>
              </w:rPr>
              <w:t>A</w:t>
            </w:r>
          </w:p>
        </w:tc>
        <w:tc>
          <w:tcPr>
            <w:tcW w:w="2805" w:type="dxa"/>
            <w:vMerge/>
            <w:vAlign w:val="center"/>
          </w:tcPr>
          <w:p w14:paraId="6B2A24EB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sz w:val="18"/>
                <w:szCs w:val="20"/>
              </w:rPr>
            </w:pPr>
          </w:p>
        </w:tc>
      </w:tr>
      <w:tr w:rsidR="00CF35A5" w:rsidRPr="00972CEE" w14:paraId="425A82A5" w14:textId="77777777" w:rsidTr="00C62050">
        <w:trPr>
          <w:trHeight w:val="398"/>
        </w:trPr>
        <w:tc>
          <w:tcPr>
            <w:tcW w:w="6555" w:type="dxa"/>
          </w:tcPr>
          <w:p w14:paraId="3D8FB9C6" w14:textId="77777777" w:rsidR="00CF35A5" w:rsidRPr="00972CEE" w:rsidRDefault="00CF35A5" w:rsidP="00C62050">
            <w:pPr>
              <w:spacing w:before="120" w:after="120"/>
              <w:jc w:val="center"/>
              <w:rPr>
                <w:rFonts w:ascii="Arial" w:eastAsia="Arial" w:hAnsi="Arial" w:cs="Arial"/>
                <w:sz w:val="18"/>
                <w:szCs w:val="20"/>
                <w:rtl/>
              </w:rPr>
            </w:pPr>
            <w:r w:rsidRPr="00972CEE">
              <w:rPr>
                <w:rFonts w:ascii="Arial" w:eastAsia="Arial" w:hAnsi="Arial" w:cs="Arial"/>
                <w:sz w:val="18"/>
                <w:szCs w:val="20"/>
              </w:rPr>
              <w:t>Baa</w:t>
            </w:r>
          </w:p>
        </w:tc>
        <w:tc>
          <w:tcPr>
            <w:tcW w:w="2805" w:type="dxa"/>
            <w:vMerge/>
            <w:tcBorders>
              <w:bottom w:val="single" w:sz="4" w:space="0" w:color="auto"/>
            </w:tcBorders>
          </w:tcPr>
          <w:p w14:paraId="4DD6BE97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sz w:val="18"/>
                <w:szCs w:val="20"/>
                <w:rtl/>
              </w:rPr>
            </w:pPr>
          </w:p>
        </w:tc>
      </w:tr>
      <w:tr w:rsidR="00CF35A5" w:rsidRPr="00972CEE" w14:paraId="16F2F45A" w14:textId="77777777" w:rsidTr="00C62050">
        <w:trPr>
          <w:trHeight w:val="410"/>
        </w:trPr>
        <w:tc>
          <w:tcPr>
            <w:tcW w:w="6555" w:type="dxa"/>
            <w:tcBorders>
              <w:bottom w:val="single" w:sz="2" w:space="0" w:color="auto"/>
            </w:tcBorders>
          </w:tcPr>
          <w:p w14:paraId="2552BAFA" w14:textId="77777777" w:rsidR="00CF35A5" w:rsidRPr="00972CEE" w:rsidRDefault="00CF35A5" w:rsidP="00C62050">
            <w:pPr>
              <w:spacing w:before="120" w:after="120"/>
              <w:jc w:val="center"/>
              <w:rPr>
                <w:rFonts w:ascii="Arial" w:eastAsia="Arial" w:hAnsi="Arial" w:cs="Arial"/>
                <w:sz w:val="18"/>
                <w:szCs w:val="20"/>
              </w:rPr>
            </w:pPr>
            <w:r w:rsidRPr="00972CEE">
              <w:rPr>
                <w:rFonts w:ascii="Arial" w:eastAsia="Arial" w:hAnsi="Arial" w:cs="Arial"/>
                <w:sz w:val="18"/>
                <w:szCs w:val="20"/>
              </w:rPr>
              <w:t>Ba</w:t>
            </w:r>
          </w:p>
        </w:tc>
        <w:tc>
          <w:tcPr>
            <w:tcW w:w="2805" w:type="dxa"/>
            <w:vAlign w:val="center"/>
          </w:tcPr>
          <w:p w14:paraId="71DBC3C9" w14:textId="77777777" w:rsidR="00CF35A5" w:rsidRPr="00972CEE" w:rsidRDefault="00CF35A5" w:rsidP="000F2713">
            <w:pPr>
              <w:spacing w:before="120" w:after="120"/>
              <w:rPr>
                <w:rFonts w:ascii="Arial" w:eastAsia="Arial" w:hAnsi="Arial" w:cs="Arial"/>
                <w:bCs/>
                <w:i/>
                <w:iCs/>
                <w:sz w:val="18"/>
                <w:szCs w:val="20"/>
              </w:rPr>
            </w:pPr>
            <w:r w:rsidRPr="00972CEE">
              <w:rPr>
                <w:rFonts w:ascii="Arial" w:eastAsia="Arial" w:hAnsi="Arial" w:cs="Arial"/>
                <w:sz w:val="18"/>
                <w:szCs w:val="20"/>
              </w:rPr>
              <w:t>One notch downgrade</w:t>
            </w:r>
          </w:p>
        </w:tc>
      </w:tr>
    </w:tbl>
    <w:p w14:paraId="3A9CA295" w14:textId="05D589E2" w:rsidR="00E43FF4" w:rsidRPr="004605B7" w:rsidRDefault="00E43FF4" w:rsidP="00C62050">
      <w:pPr>
        <w:tabs>
          <w:tab w:val="left" w:pos="8364"/>
        </w:tabs>
        <w:spacing w:before="120" w:after="120"/>
        <w:ind w:left="993" w:right="996"/>
        <w:jc w:val="both"/>
        <w:rPr>
          <w:rFonts w:ascii="Arial" w:hAnsi="Arial" w:cs="Arial"/>
          <w:i/>
        </w:rPr>
      </w:pPr>
      <w:r w:rsidRPr="004605B7">
        <w:rPr>
          <w:rFonts w:ascii="Arial" w:hAnsi="Arial" w:cs="Arial"/>
          <w:i/>
        </w:rPr>
        <w:t>Section 2.4.1.1, Page 23, QCB-IFRS9 Instructions Feb17</w:t>
      </w:r>
    </w:p>
    <w:p w14:paraId="26160233" w14:textId="77777777" w:rsidR="00E43FF4" w:rsidRPr="00972CEE" w:rsidRDefault="00E43FF4" w:rsidP="004605B7">
      <w:pPr>
        <w:spacing w:before="120" w:after="120"/>
        <w:rPr>
          <w:rFonts w:ascii="Arial" w:hAnsi="Arial" w:cs="Arial"/>
        </w:rPr>
      </w:pPr>
    </w:p>
    <w:p w14:paraId="355F30BA" w14:textId="77777777" w:rsidR="00E43FF4" w:rsidRPr="00972CEE" w:rsidRDefault="00E43FF4" w:rsidP="00F52F2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 xml:space="preserve">Potential Impact / Implications </w:t>
      </w:r>
    </w:p>
    <w:p w14:paraId="3796BA3B" w14:textId="11773E5C" w:rsidR="00CE5E68" w:rsidRPr="00C62050" w:rsidRDefault="007A3D3D" w:rsidP="00C62050">
      <w:pPr>
        <w:spacing w:before="120" w:after="120"/>
        <w:jc w:val="both"/>
        <w:rPr>
          <w:rFonts w:ascii="Arial" w:hAnsi="Arial" w:cs="Arial"/>
          <w:bCs/>
        </w:rPr>
      </w:pPr>
      <w:r w:rsidRPr="00172E62">
        <w:rPr>
          <w:rFonts w:ascii="Arial" w:hAnsi="Arial" w:cs="Arial"/>
          <w:bCs/>
        </w:rPr>
        <w:t xml:space="preserve">As at March 2017, the total </w:t>
      </w:r>
      <w:r w:rsidR="00C22A6C" w:rsidRPr="00C62050">
        <w:rPr>
          <w:rFonts w:ascii="Arial" w:hAnsi="Arial" w:cs="Arial"/>
          <w:bCs/>
        </w:rPr>
        <w:t xml:space="preserve">instances </w:t>
      </w:r>
      <w:r w:rsidRPr="00C62050">
        <w:rPr>
          <w:rFonts w:ascii="Arial" w:hAnsi="Arial" w:cs="Arial"/>
          <w:bCs/>
        </w:rPr>
        <w:t xml:space="preserve">of Ratings Downgrade comprised </w:t>
      </w:r>
      <w:r w:rsidR="004B58CB" w:rsidRPr="00C62050">
        <w:rPr>
          <w:rFonts w:ascii="Arial" w:hAnsi="Arial" w:cs="Arial"/>
          <w:bCs/>
        </w:rPr>
        <w:t>104</w:t>
      </w:r>
      <w:r w:rsidRPr="00C62050">
        <w:rPr>
          <w:rFonts w:ascii="Arial" w:hAnsi="Arial" w:cs="Arial"/>
          <w:bCs/>
        </w:rPr>
        <w:t xml:space="preserve"> individual customers (Qatar) with total facilities exposures (EAD) amounting to QAR 1</w:t>
      </w:r>
      <w:r w:rsidR="00172E62" w:rsidRPr="00C62050">
        <w:rPr>
          <w:rFonts w:ascii="Arial" w:hAnsi="Arial" w:cs="Arial"/>
          <w:bCs/>
        </w:rPr>
        <w:t>3</w:t>
      </w:r>
      <w:r w:rsidR="004B58CB" w:rsidRPr="00C62050">
        <w:rPr>
          <w:rFonts w:ascii="Arial" w:hAnsi="Arial" w:cs="Arial"/>
          <w:bCs/>
        </w:rPr>
        <w:t>.1</w:t>
      </w:r>
      <w:r w:rsidR="00C22A6C" w:rsidRPr="00C62050">
        <w:rPr>
          <w:rFonts w:ascii="Arial" w:hAnsi="Arial" w:cs="Arial"/>
          <w:bCs/>
        </w:rPr>
        <w:t>B</w:t>
      </w:r>
      <w:r w:rsidRPr="00C62050">
        <w:rPr>
          <w:rFonts w:ascii="Arial" w:hAnsi="Arial" w:cs="Arial"/>
          <w:bCs/>
        </w:rPr>
        <w:t>ln. These are automatically recognized under Stage 2 rules and not rebuttable. ECL impact is QAR 1</w:t>
      </w:r>
      <w:r w:rsidR="004B58CB" w:rsidRPr="00C62050">
        <w:rPr>
          <w:rFonts w:ascii="Arial" w:hAnsi="Arial" w:cs="Arial"/>
          <w:bCs/>
        </w:rPr>
        <w:t>12</w:t>
      </w:r>
      <w:r w:rsidRPr="00C62050">
        <w:rPr>
          <w:rFonts w:ascii="Arial" w:hAnsi="Arial" w:cs="Arial"/>
          <w:bCs/>
        </w:rPr>
        <w:t>.</w:t>
      </w:r>
      <w:r w:rsidR="004B58CB" w:rsidRPr="00C62050">
        <w:rPr>
          <w:rFonts w:ascii="Arial" w:hAnsi="Arial" w:cs="Arial"/>
          <w:bCs/>
        </w:rPr>
        <w:t>0</w:t>
      </w:r>
      <w:r w:rsidRPr="00C62050">
        <w:rPr>
          <w:rFonts w:ascii="Arial" w:hAnsi="Arial" w:cs="Arial"/>
          <w:bCs/>
        </w:rPr>
        <w:t>Mln (~</w:t>
      </w:r>
      <w:r w:rsidR="004B58CB" w:rsidRPr="00C62050">
        <w:rPr>
          <w:rFonts w:ascii="Arial" w:hAnsi="Arial" w:cs="Arial"/>
          <w:bCs/>
        </w:rPr>
        <w:t>8.6</w:t>
      </w:r>
      <w:r w:rsidRPr="00C62050">
        <w:rPr>
          <w:rFonts w:ascii="Arial" w:hAnsi="Arial" w:cs="Arial"/>
          <w:bCs/>
        </w:rPr>
        <w:t>%).</w:t>
      </w:r>
    </w:p>
    <w:p w14:paraId="2E51B297" w14:textId="3301258A" w:rsidR="00CE5E68" w:rsidRPr="00C62050" w:rsidRDefault="00CE5E68">
      <w:pPr>
        <w:pStyle w:val="Heading2"/>
        <w:keepNext w:val="0"/>
        <w:keepLines w:val="0"/>
        <w:widowControl w:val="0"/>
        <w:spacing w:before="240" w:after="240" w:line="240" w:lineRule="auto"/>
        <w:ind w:left="567" w:hanging="567"/>
        <w:jc w:val="both"/>
        <w:rPr>
          <w:rFonts w:eastAsia="Calibri" w:cs="Arial"/>
          <w:lang w:val="en-IN"/>
        </w:rPr>
      </w:pPr>
      <w:r w:rsidRPr="00C62050">
        <w:rPr>
          <w:rFonts w:eastAsia="Calibri" w:cs="Arial"/>
          <w:lang w:val="en-IN"/>
        </w:rPr>
        <w:t>Overall Impact</w:t>
      </w:r>
      <w:r w:rsidR="004B58CB" w:rsidRPr="00C62050">
        <w:rPr>
          <w:rStyle w:val="FootnoteReference"/>
          <w:rFonts w:eastAsia="Calibri" w:cs="Arial"/>
          <w:lang w:val="en-IN"/>
        </w:rPr>
        <w:footnoteReference w:id="8"/>
      </w:r>
      <w:r w:rsidRPr="00C62050">
        <w:rPr>
          <w:rFonts w:eastAsia="Calibri" w:cs="Arial"/>
          <w:lang w:val="en-IN"/>
        </w:rPr>
        <w:t xml:space="preserve">: Non-Retail </w:t>
      </w:r>
    </w:p>
    <w:p w14:paraId="5E02596D" w14:textId="1696980A" w:rsidR="00CE5E68" w:rsidRDefault="00CE5E68" w:rsidP="00C62050">
      <w:pPr>
        <w:spacing w:before="120" w:after="120"/>
        <w:jc w:val="both"/>
        <w:rPr>
          <w:rFonts w:ascii="Arial" w:hAnsi="Arial" w:cs="Arial"/>
          <w:bCs/>
        </w:rPr>
      </w:pPr>
      <w:r w:rsidRPr="00C62050">
        <w:rPr>
          <w:rFonts w:ascii="Arial" w:hAnsi="Arial" w:cs="Arial"/>
          <w:bCs/>
        </w:rPr>
        <w:t>The scale and context of the separate staging rules are illustrated in the graph below</w:t>
      </w:r>
      <w:r w:rsidR="00CF35A5">
        <w:rPr>
          <w:rFonts w:ascii="Arial" w:hAnsi="Arial" w:cs="Arial"/>
          <w:bCs/>
        </w:rPr>
        <w:t>, showing the exposures in stage 2 per staging rule</w:t>
      </w:r>
      <w:r w:rsidRPr="00C62050">
        <w:rPr>
          <w:rFonts w:ascii="Arial" w:hAnsi="Arial" w:cs="Arial"/>
          <w:bCs/>
        </w:rPr>
        <w:t>:</w:t>
      </w:r>
    </w:p>
    <w:p w14:paraId="242AFE8E" w14:textId="6AC0C0AF" w:rsidR="00CE5E68" w:rsidRDefault="004B58CB" w:rsidP="00C62050">
      <w:pPr>
        <w:spacing w:before="120" w:after="120"/>
        <w:jc w:val="both"/>
        <w:rPr>
          <w:rFonts w:ascii="Arial" w:hAnsi="Arial" w:cs="Arial"/>
          <w:color w:val="FF0000"/>
        </w:rPr>
      </w:pPr>
      <w:r>
        <w:rPr>
          <w:noProof/>
          <w:lang w:val="en-GB" w:eastAsia="en-GB"/>
        </w:rPr>
        <w:drawing>
          <wp:inline distT="0" distB="0" distL="0" distR="0" wp14:anchorId="44421E86" wp14:editId="20D0AED3">
            <wp:extent cx="3935896" cy="2059388"/>
            <wp:effectExtent l="0" t="0" r="7620" b="0"/>
            <wp:docPr id="1" name="Picture 1" descr="cid:image019.png@01D2D556.4555F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 3" descr="cid:image019.png@01D2D556.4555F290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96" cy="205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4351" w14:textId="6331E308" w:rsidR="0090105F" w:rsidRPr="00972CEE" w:rsidRDefault="004F5A13" w:rsidP="004605B7">
      <w:pPr>
        <w:pStyle w:val="Heading1"/>
        <w:keepNext w:val="0"/>
        <w:keepLines w:val="0"/>
        <w:widowControl w:val="0"/>
        <w:numPr>
          <w:ilvl w:val="0"/>
          <w:numId w:val="8"/>
        </w:numPr>
        <w:spacing w:before="240" w:after="240" w:line="240" w:lineRule="auto"/>
        <w:ind w:left="567" w:hanging="567"/>
        <w:jc w:val="both"/>
        <w:rPr>
          <w:rFonts w:ascii="Arial" w:hAnsi="Arial" w:cs="Arial"/>
        </w:rPr>
      </w:pPr>
      <w:r w:rsidRPr="00972CEE">
        <w:rPr>
          <w:rFonts w:ascii="Arial" w:hAnsi="Arial" w:cs="Arial"/>
        </w:rPr>
        <w:lastRenderedPageBreak/>
        <w:t>Retail Portfo</w:t>
      </w:r>
      <w:r w:rsidRPr="004605B7">
        <w:t>l</w:t>
      </w:r>
      <w:r w:rsidRPr="00972CEE">
        <w:rPr>
          <w:rFonts w:ascii="Arial" w:hAnsi="Arial" w:cs="Arial"/>
        </w:rPr>
        <w:t>io</w:t>
      </w:r>
    </w:p>
    <w:p w14:paraId="5845F632" w14:textId="702652F7" w:rsidR="0090105F" w:rsidRPr="00972CEE" w:rsidRDefault="00E201C0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</w:rPr>
        <w:t xml:space="preserve">This section covers the </w:t>
      </w:r>
      <w:r w:rsidR="00B671A6">
        <w:rPr>
          <w:rFonts w:ascii="Arial" w:hAnsi="Arial" w:cs="Arial"/>
        </w:rPr>
        <w:t xml:space="preserve">staging rule </w:t>
      </w:r>
      <w:r w:rsidR="00895394" w:rsidRPr="00895394">
        <w:rPr>
          <w:rFonts w:ascii="Arial" w:hAnsi="Arial" w:cs="Arial"/>
        </w:rPr>
        <w:t xml:space="preserve">identified </w:t>
      </w:r>
      <w:r>
        <w:rPr>
          <w:rFonts w:ascii="Arial" w:hAnsi="Arial" w:cs="Arial"/>
        </w:rPr>
        <w:t xml:space="preserve">for </w:t>
      </w:r>
      <w:r w:rsidR="00895394" w:rsidRPr="00895394">
        <w:rPr>
          <w:rFonts w:ascii="Arial" w:hAnsi="Arial" w:cs="Arial"/>
        </w:rPr>
        <w:t xml:space="preserve">QNB’s </w:t>
      </w:r>
      <w:r w:rsidR="003A5AB4">
        <w:rPr>
          <w:rFonts w:ascii="Arial" w:hAnsi="Arial" w:cs="Arial"/>
        </w:rPr>
        <w:t>R</w:t>
      </w:r>
      <w:r w:rsidR="00B671A6">
        <w:rPr>
          <w:rFonts w:ascii="Arial" w:hAnsi="Arial" w:cs="Arial"/>
        </w:rPr>
        <w:t xml:space="preserve">etail </w:t>
      </w:r>
      <w:r w:rsidR="00895394" w:rsidRPr="00895394">
        <w:rPr>
          <w:rFonts w:ascii="Arial" w:hAnsi="Arial" w:cs="Arial"/>
        </w:rPr>
        <w:t xml:space="preserve">portfolio. </w:t>
      </w:r>
      <w:r w:rsidR="00B303C2">
        <w:rPr>
          <w:rFonts w:ascii="Arial" w:hAnsi="Arial" w:cs="Arial"/>
        </w:rPr>
        <w:t xml:space="preserve">For </w:t>
      </w:r>
      <w:r w:rsidR="00605C25">
        <w:rPr>
          <w:rFonts w:ascii="Arial" w:hAnsi="Arial" w:cs="Arial"/>
        </w:rPr>
        <w:t xml:space="preserve">the </w:t>
      </w:r>
      <w:r w:rsidR="003A5AB4">
        <w:rPr>
          <w:rFonts w:ascii="Arial" w:hAnsi="Arial" w:cs="Arial"/>
        </w:rPr>
        <w:t>R</w:t>
      </w:r>
      <w:r w:rsidR="00B303C2">
        <w:rPr>
          <w:rFonts w:ascii="Arial" w:hAnsi="Arial" w:cs="Arial"/>
        </w:rPr>
        <w:t xml:space="preserve">etail portfolio, </w:t>
      </w:r>
      <w:r w:rsidR="00A12F51">
        <w:rPr>
          <w:rFonts w:ascii="Arial" w:hAnsi="Arial" w:cs="Arial"/>
        </w:rPr>
        <w:t xml:space="preserve">there is no </w:t>
      </w:r>
      <w:r w:rsidR="00605C25">
        <w:rPr>
          <w:rFonts w:ascii="Arial" w:hAnsi="Arial" w:cs="Arial"/>
        </w:rPr>
        <w:t xml:space="preserve">specific </w:t>
      </w:r>
      <w:r w:rsidR="004C5CD7">
        <w:rPr>
          <w:rFonts w:ascii="Arial" w:hAnsi="Arial" w:cs="Arial"/>
        </w:rPr>
        <w:t>allowance that would</w:t>
      </w:r>
      <w:r w:rsidR="00605C25">
        <w:rPr>
          <w:rFonts w:ascii="Arial" w:hAnsi="Arial" w:cs="Arial"/>
        </w:rPr>
        <w:t xml:space="preserve"> trigger a </w:t>
      </w:r>
      <w:r w:rsidR="004C5CD7">
        <w:rPr>
          <w:rFonts w:ascii="Arial" w:hAnsi="Arial" w:cs="Arial"/>
        </w:rPr>
        <w:t>case-by-case facility or customer</w:t>
      </w:r>
      <w:r w:rsidR="00605C25">
        <w:rPr>
          <w:rFonts w:ascii="Arial" w:hAnsi="Arial" w:cs="Arial"/>
        </w:rPr>
        <w:t xml:space="preserve"> review,</w:t>
      </w:r>
      <w:r w:rsidR="00A12F51">
        <w:rPr>
          <w:rFonts w:ascii="Arial" w:hAnsi="Arial" w:cs="Arial"/>
        </w:rPr>
        <w:t xml:space="preserve"> </w:t>
      </w:r>
      <w:r w:rsidR="004C5CD7">
        <w:rPr>
          <w:rFonts w:ascii="Arial" w:hAnsi="Arial" w:cs="Arial"/>
        </w:rPr>
        <w:t>rather</w:t>
      </w:r>
      <w:r w:rsidR="00605C25">
        <w:rPr>
          <w:rFonts w:ascii="Arial" w:hAnsi="Arial" w:cs="Arial"/>
        </w:rPr>
        <w:t xml:space="preserve"> the </w:t>
      </w:r>
      <w:r w:rsidR="00A12F51">
        <w:rPr>
          <w:rFonts w:ascii="Arial" w:hAnsi="Arial" w:cs="Arial"/>
        </w:rPr>
        <w:t xml:space="preserve">entire portfolio </w:t>
      </w:r>
      <w:r w:rsidR="00605C25">
        <w:rPr>
          <w:rFonts w:ascii="Arial" w:hAnsi="Arial" w:cs="Arial"/>
        </w:rPr>
        <w:t xml:space="preserve">will be </w:t>
      </w:r>
      <w:r w:rsidR="004C5CD7">
        <w:rPr>
          <w:rFonts w:ascii="Arial" w:hAnsi="Arial" w:cs="Arial"/>
        </w:rPr>
        <w:t>assessed at a facility level</w:t>
      </w:r>
      <w:r w:rsidR="00605C25">
        <w:rPr>
          <w:rFonts w:ascii="Arial" w:hAnsi="Arial" w:cs="Arial"/>
        </w:rPr>
        <w:t xml:space="preserve"> </w:t>
      </w:r>
      <w:r w:rsidR="004C5CD7">
        <w:rPr>
          <w:rFonts w:ascii="Arial" w:hAnsi="Arial" w:cs="Arial"/>
        </w:rPr>
        <w:t>by applying the</w:t>
      </w:r>
      <w:r w:rsidR="00605C25">
        <w:rPr>
          <w:rFonts w:ascii="Arial" w:hAnsi="Arial" w:cs="Arial"/>
        </w:rPr>
        <w:t xml:space="preserve"> staging rule defined below</w:t>
      </w:r>
      <w:r w:rsidR="00A12F51">
        <w:rPr>
          <w:rFonts w:ascii="Arial" w:hAnsi="Arial" w:cs="Arial"/>
        </w:rPr>
        <w:t>.</w:t>
      </w:r>
      <w:r w:rsidR="009B747F">
        <w:rPr>
          <w:rFonts w:ascii="Arial" w:hAnsi="Arial" w:cs="Arial"/>
        </w:rPr>
        <w:t xml:space="preserve"> </w:t>
      </w:r>
    </w:p>
    <w:p w14:paraId="0F02D46D" w14:textId="77777777" w:rsidR="00555279" w:rsidRPr="004605B7" w:rsidRDefault="00555279" w:rsidP="009546D2">
      <w:pPr>
        <w:pStyle w:val="ListParagraph"/>
        <w:widowControl w:val="0"/>
        <w:numPr>
          <w:ilvl w:val="0"/>
          <w:numId w:val="33"/>
        </w:numPr>
        <w:spacing w:before="240" w:after="240"/>
        <w:contextualSpacing w:val="0"/>
        <w:jc w:val="both"/>
        <w:outlineLvl w:val="0"/>
        <w:rPr>
          <w:rFonts w:ascii="Arial" w:eastAsia="Calibri" w:hAnsi="Arial" w:cs="Arial"/>
          <w:b/>
          <w:bCs/>
          <w:i/>
          <w:color w:val="595959" w:themeColor="text1" w:themeTint="A6"/>
          <w:sz w:val="24"/>
          <w:szCs w:val="26"/>
          <w:lang w:val="en-IN"/>
        </w:rPr>
      </w:pPr>
      <w:r w:rsidRPr="004605B7">
        <w:rPr>
          <w:rFonts w:ascii="Arial" w:eastAsia="Calibri" w:hAnsi="Arial" w:cs="Arial"/>
          <w:b/>
          <w:bCs/>
          <w:i/>
          <w:color w:val="595959" w:themeColor="text1" w:themeTint="A6"/>
          <w:sz w:val="24"/>
          <w:szCs w:val="26"/>
          <w:lang w:val="en-IN"/>
        </w:rPr>
        <w:t xml:space="preserve">30 Days Past Due (30 DPD) </w:t>
      </w:r>
    </w:p>
    <w:p w14:paraId="7A9C2187" w14:textId="77777777" w:rsidR="00555279" w:rsidRPr="00972CEE" w:rsidRDefault="00555279" w:rsidP="0055527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>Definition</w:t>
      </w:r>
    </w:p>
    <w:p w14:paraId="52BF2044" w14:textId="60BC9BDE" w:rsidR="00555279" w:rsidRPr="00972CEE" w:rsidRDefault="00555279" w:rsidP="00555279">
      <w:pPr>
        <w:pStyle w:val="02-SoW-03-08-Lev7-Section"/>
        <w:numPr>
          <w:ilvl w:val="0"/>
          <w:numId w:val="0"/>
        </w:numPr>
        <w:outlineLvl w:val="9"/>
      </w:pPr>
      <w:r w:rsidRPr="00972CEE">
        <w:t xml:space="preserve">Delinquency status is an important predictive criteria for default. </w:t>
      </w:r>
      <w:r w:rsidR="00996B44">
        <w:t>Retail</w:t>
      </w:r>
      <w:r w:rsidRPr="00972CEE">
        <w:t xml:space="preserve"> customers who are overdue for 30 days or more on their payment schedule exhibit a potential to default.</w:t>
      </w:r>
      <w:r w:rsidR="009B747F">
        <w:t xml:space="preserve"> As mentioned earlier, </w:t>
      </w:r>
      <w:r w:rsidR="00B763F8">
        <w:t xml:space="preserve">this rule will be used across the </w:t>
      </w:r>
      <w:r w:rsidR="009B747F">
        <w:t>entire portfolio to assess stag</w:t>
      </w:r>
      <w:r w:rsidR="00B763F8">
        <w:t>ing</w:t>
      </w:r>
      <w:r w:rsidR="009B747F">
        <w:t xml:space="preserve">. </w:t>
      </w:r>
      <w:r w:rsidR="004C5CD7">
        <w:t>The</w:t>
      </w:r>
      <w:r w:rsidR="005B414D">
        <w:t xml:space="preserve"> rule will apply at a facility level, and not at customer level.</w:t>
      </w:r>
    </w:p>
    <w:p w14:paraId="0945C405" w14:textId="77777777" w:rsidR="00555279" w:rsidRPr="00972CEE" w:rsidRDefault="00555279" w:rsidP="00555279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972CEE">
        <w:rPr>
          <w:rFonts w:eastAsiaTheme="minorHAnsi"/>
          <w:b/>
          <w:bCs/>
          <w:szCs w:val="22"/>
          <w:lang w:val="en-US" w:eastAsia="en-US"/>
        </w:rPr>
        <w:t>Rationale</w:t>
      </w:r>
    </w:p>
    <w:p w14:paraId="547DBC32" w14:textId="241B8911" w:rsidR="00555279" w:rsidRPr="00972CEE" w:rsidRDefault="00FC6036">
      <w:pPr>
        <w:pStyle w:val="02-SoW-03-08-Lev7-Section"/>
        <w:numPr>
          <w:ilvl w:val="0"/>
          <w:numId w:val="0"/>
        </w:numPr>
        <w:spacing w:line="276" w:lineRule="auto"/>
        <w:outlineLvl w:val="9"/>
        <w:rPr>
          <w:rFonts w:eastAsiaTheme="minorHAnsi"/>
          <w:bCs/>
          <w:szCs w:val="22"/>
          <w:lang w:val="en-US" w:eastAsia="en-US"/>
        </w:rPr>
      </w:pPr>
      <w:r w:rsidRPr="00972CEE">
        <w:rPr>
          <w:rFonts w:eastAsiaTheme="minorHAnsi"/>
          <w:bCs/>
          <w:szCs w:val="22"/>
          <w:lang w:val="en-US" w:eastAsia="en-US"/>
        </w:rPr>
        <w:t>IFRS 9 allows bank</w:t>
      </w:r>
      <w:r>
        <w:rPr>
          <w:rFonts w:eastAsiaTheme="minorHAnsi"/>
          <w:bCs/>
          <w:szCs w:val="22"/>
          <w:lang w:val="en-US" w:eastAsia="en-US"/>
        </w:rPr>
        <w:t>s</w:t>
      </w:r>
      <w:r w:rsidRPr="00972CEE">
        <w:rPr>
          <w:rFonts w:eastAsiaTheme="minorHAnsi"/>
          <w:bCs/>
          <w:szCs w:val="22"/>
          <w:lang w:val="en-US" w:eastAsia="en-US"/>
        </w:rPr>
        <w:t xml:space="preserve"> to use past due status as a criterion to assess credit deterioration.</w:t>
      </w:r>
      <w:r>
        <w:rPr>
          <w:rFonts w:eastAsiaTheme="minorHAnsi"/>
          <w:bCs/>
          <w:szCs w:val="22"/>
          <w:lang w:val="en-US" w:eastAsia="en-US"/>
        </w:rPr>
        <w:t xml:space="preserve"> </w:t>
      </w:r>
      <w:r w:rsidR="00F251F6" w:rsidRPr="00972CEE">
        <w:rPr>
          <w:rFonts w:eastAsiaTheme="minorHAnsi"/>
          <w:bCs/>
          <w:szCs w:val="22"/>
          <w:lang w:val="en-US" w:eastAsia="en-US"/>
        </w:rPr>
        <w:t>It also says that regardless of how credit deterioration is assessed, there will be a 30+ DPD backstop unless the bank can rebut this backstop based on reasonable and supportable information.</w:t>
      </w:r>
      <w:r w:rsidR="00F251F6">
        <w:rPr>
          <w:rFonts w:eastAsiaTheme="minorHAnsi"/>
          <w:bCs/>
          <w:szCs w:val="22"/>
          <w:lang w:val="en-US" w:eastAsia="en-US"/>
        </w:rPr>
        <w:t xml:space="preserve"> </w:t>
      </w:r>
      <w:r w:rsidR="008E0F38">
        <w:rPr>
          <w:rFonts w:eastAsiaTheme="minorHAnsi"/>
          <w:bCs/>
          <w:szCs w:val="22"/>
          <w:lang w:val="en-US" w:eastAsia="en-US"/>
        </w:rPr>
        <w:t>For the r</w:t>
      </w:r>
      <w:r w:rsidR="00F251F6">
        <w:rPr>
          <w:rFonts w:eastAsiaTheme="minorHAnsi"/>
          <w:bCs/>
          <w:szCs w:val="22"/>
          <w:lang w:val="en-US" w:eastAsia="en-US"/>
        </w:rPr>
        <w:t xml:space="preserve">etail </w:t>
      </w:r>
      <w:r w:rsidR="008E0F38">
        <w:rPr>
          <w:rFonts w:eastAsiaTheme="minorHAnsi"/>
          <w:bCs/>
          <w:szCs w:val="22"/>
          <w:lang w:val="en-US" w:eastAsia="en-US"/>
        </w:rPr>
        <w:t>p</w:t>
      </w:r>
      <w:r w:rsidR="00F251F6">
        <w:rPr>
          <w:rFonts w:eastAsiaTheme="minorHAnsi"/>
          <w:bCs/>
          <w:szCs w:val="22"/>
          <w:lang w:val="en-US" w:eastAsia="en-US"/>
        </w:rPr>
        <w:t xml:space="preserve">ortfolio, </w:t>
      </w:r>
      <w:r w:rsidR="008E0F38">
        <w:rPr>
          <w:rFonts w:eastAsiaTheme="minorHAnsi"/>
          <w:bCs/>
          <w:szCs w:val="22"/>
          <w:lang w:val="en-US" w:eastAsia="en-US"/>
        </w:rPr>
        <w:t xml:space="preserve">QNB </w:t>
      </w:r>
      <w:r w:rsidR="00F251F6">
        <w:rPr>
          <w:rFonts w:eastAsiaTheme="minorHAnsi"/>
          <w:bCs/>
          <w:szCs w:val="22"/>
          <w:lang w:val="en-US" w:eastAsia="en-US"/>
        </w:rPr>
        <w:t xml:space="preserve">has decided to not rebut </w:t>
      </w:r>
      <w:r w:rsidR="008E0F38">
        <w:rPr>
          <w:rFonts w:eastAsiaTheme="minorHAnsi"/>
          <w:bCs/>
          <w:szCs w:val="22"/>
          <w:lang w:val="en-US" w:eastAsia="en-US"/>
        </w:rPr>
        <w:t xml:space="preserve">this rule </w:t>
      </w:r>
      <w:r w:rsidR="00F251F6">
        <w:rPr>
          <w:rFonts w:eastAsiaTheme="minorHAnsi"/>
          <w:bCs/>
          <w:szCs w:val="22"/>
          <w:lang w:val="en-US" w:eastAsia="en-US"/>
        </w:rPr>
        <w:t xml:space="preserve">and </w:t>
      </w:r>
      <w:r w:rsidR="008E0F38">
        <w:rPr>
          <w:rFonts w:eastAsiaTheme="minorHAnsi"/>
          <w:bCs/>
          <w:szCs w:val="22"/>
          <w:lang w:val="en-US" w:eastAsia="en-US"/>
        </w:rPr>
        <w:t xml:space="preserve">proceed </w:t>
      </w:r>
      <w:r w:rsidR="00F251F6">
        <w:rPr>
          <w:rFonts w:eastAsiaTheme="minorHAnsi"/>
          <w:bCs/>
          <w:szCs w:val="22"/>
          <w:lang w:val="en-US" w:eastAsia="en-US"/>
        </w:rPr>
        <w:t>with</w:t>
      </w:r>
      <w:r w:rsidR="00023EF9">
        <w:rPr>
          <w:rFonts w:eastAsiaTheme="minorHAnsi"/>
          <w:bCs/>
          <w:szCs w:val="22"/>
          <w:lang w:val="en-US" w:eastAsia="en-US"/>
        </w:rPr>
        <w:t xml:space="preserve"> 30</w:t>
      </w:r>
      <w:r w:rsidR="005B414D">
        <w:rPr>
          <w:rFonts w:eastAsiaTheme="minorHAnsi"/>
          <w:bCs/>
          <w:szCs w:val="22"/>
          <w:lang w:val="en-US" w:eastAsia="en-US"/>
        </w:rPr>
        <w:t>+</w:t>
      </w:r>
      <w:r w:rsidR="00023EF9">
        <w:rPr>
          <w:rFonts w:eastAsiaTheme="minorHAnsi"/>
          <w:bCs/>
          <w:szCs w:val="22"/>
          <w:lang w:val="en-US" w:eastAsia="en-US"/>
        </w:rPr>
        <w:t xml:space="preserve"> DPD as a backstop criterion. </w:t>
      </w:r>
      <w:r w:rsidR="008E0F38">
        <w:rPr>
          <w:rFonts w:eastAsiaTheme="minorHAnsi"/>
          <w:bCs/>
          <w:szCs w:val="22"/>
          <w:lang w:val="en-US" w:eastAsia="en-US"/>
        </w:rPr>
        <w:t>More details regarding this decision are covered in the Technical Interpretation Note – “</w:t>
      </w:r>
      <w:r w:rsidR="00D87CD3" w:rsidRPr="009546D2">
        <w:rPr>
          <w:rFonts w:eastAsiaTheme="minorHAnsi"/>
          <w:bCs/>
          <w:szCs w:val="22"/>
          <w:lang w:val="en-US" w:eastAsia="en-US"/>
        </w:rPr>
        <w:t>30</w:t>
      </w:r>
      <w:r w:rsidR="00D87CD3" w:rsidRPr="00D87CD3">
        <w:rPr>
          <w:rFonts w:eastAsiaTheme="minorHAnsi"/>
          <w:bCs/>
          <w:szCs w:val="22"/>
          <w:lang w:val="en-US" w:eastAsia="en-US"/>
        </w:rPr>
        <w:t xml:space="preserve"> DPD Rebuttable</w:t>
      </w:r>
      <w:r w:rsidR="00D87CD3">
        <w:rPr>
          <w:rFonts w:eastAsiaTheme="minorHAnsi"/>
          <w:bCs/>
          <w:szCs w:val="22"/>
          <w:lang w:val="en-US" w:eastAsia="en-US"/>
        </w:rPr>
        <w:t xml:space="preserve"> Assumption</w:t>
      </w:r>
      <w:r w:rsidR="008E0F38">
        <w:rPr>
          <w:rFonts w:eastAsiaTheme="minorHAnsi"/>
          <w:bCs/>
          <w:szCs w:val="22"/>
          <w:lang w:val="en-US" w:eastAsia="en-US"/>
        </w:rPr>
        <w:t>”.</w:t>
      </w:r>
      <w:r w:rsidR="00492574">
        <w:rPr>
          <w:rFonts w:eastAsiaTheme="minorHAnsi"/>
          <w:bCs/>
          <w:szCs w:val="22"/>
          <w:lang w:val="en-US" w:eastAsia="en-US"/>
        </w:rPr>
        <w:t xml:space="preserve"> </w:t>
      </w:r>
    </w:p>
    <w:p w14:paraId="2C3DE6C1" w14:textId="04BEB5E4" w:rsidR="00492574" w:rsidRPr="00172E62" w:rsidRDefault="00492574" w:rsidP="00492574">
      <w:pPr>
        <w:pStyle w:val="02-SoW-03-08-Lev7-Section"/>
        <w:numPr>
          <w:ilvl w:val="0"/>
          <w:numId w:val="0"/>
        </w:numPr>
        <w:outlineLvl w:val="9"/>
        <w:rPr>
          <w:rFonts w:eastAsiaTheme="minorHAnsi"/>
          <w:b/>
          <w:bCs/>
          <w:szCs w:val="22"/>
          <w:lang w:val="en-US" w:eastAsia="en-US"/>
        </w:rPr>
      </w:pPr>
      <w:r w:rsidRPr="00C62050">
        <w:rPr>
          <w:rFonts w:eastAsiaTheme="minorHAnsi"/>
          <w:b/>
          <w:bCs/>
          <w:szCs w:val="22"/>
          <w:lang w:val="en-US" w:eastAsia="en-US"/>
        </w:rPr>
        <w:t xml:space="preserve">Potential Impact / Implications </w:t>
      </w:r>
    </w:p>
    <w:p w14:paraId="189CE0FE" w14:textId="7F303EC8" w:rsidR="00313F91" w:rsidRPr="00D1038B" w:rsidRDefault="00492574" w:rsidP="00D1038B">
      <w:pPr>
        <w:jc w:val="both"/>
        <w:rPr>
          <w:rFonts w:ascii="Arial" w:hAnsi="Arial" w:cs="Arial"/>
          <w:b/>
          <w:lang w:val="en-IN"/>
        </w:rPr>
      </w:pPr>
      <w:r w:rsidRPr="00172E62">
        <w:rPr>
          <w:rFonts w:ascii="Arial" w:hAnsi="Arial" w:cs="Arial"/>
          <w:szCs w:val="20"/>
        </w:rPr>
        <w:t>As at March 2017, the total extent of retail exposure (</w:t>
      </w:r>
      <w:bookmarkStart w:id="1" w:name="_GoBack"/>
      <w:bookmarkEnd w:id="1"/>
      <w:r w:rsidRPr="00172E62">
        <w:rPr>
          <w:rFonts w:ascii="Arial" w:hAnsi="Arial" w:cs="Arial"/>
          <w:szCs w:val="20"/>
        </w:rPr>
        <w:t>EAD) for Qatar in 30</w:t>
      </w:r>
      <w:r w:rsidRPr="00C62050">
        <w:rPr>
          <w:rFonts w:ascii="Arial" w:hAnsi="Arial" w:cs="Arial"/>
          <w:szCs w:val="20"/>
        </w:rPr>
        <w:t xml:space="preserve">+ DPD category comprised </w:t>
      </w:r>
      <w:r w:rsidR="004B58CB" w:rsidRPr="00C62050">
        <w:rPr>
          <w:rFonts w:ascii="Arial" w:hAnsi="Arial" w:cs="Arial"/>
          <w:szCs w:val="20"/>
        </w:rPr>
        <w:t>299 facilities</w:t>
      </w:r>
      <w:r w:rsidRPr="00C62050">
        <w:rPr>
          <w:rFonts w:ascii="Arial" w:hAnsi="Arial" w:cs="Arial"/>
          <w:szCs w:val="20"/>
        </w:rPr>
        <w:t xml:space="preserve">, that are less than </w:t>
      </w:r>
      <w:r w:rsidR="00865EB0" w:rsidRPr="00C62050">
        <w:rPr>
          <w:rFonts w:ascii="Arial" w:hAnsi="Arial" w:cs="Arial"/>
          <w:szCs w:val="20"/>
        </w:rPr>
        <w:t>90</w:t>
      </w:r>
      <w:r w:rsidR="00CF35A5">
        <w:rPr>
          <w:rFonts w:ascii="Arial" w:hAnsi="Arial" w:cs="Arial"/>
          <w:szCs w:val="20"/>
        </w:rPr>
        <w:t>+</w:t>
      </w:r>
      <w:r w:rsidRPr="00C62050">
        <w:rPr>
          <w:rFonts w:ascii="Arial" w:hAnsi="Arial" w:cs="Arial"/>
          <w:szCs w:val="20"/>
        </w:rPr>
        <w:t xml:space="preserve"> DPD, EAD amounting to QAR </w:t>
      </w:r>
      <w:r w:rsidR="00865EB0" w:rsidRPr="00C62050">
        <w:rPr>
          <w:rFonts w:ascii="Arial" w:hAnsi="Arial" w:cs="Arial"/>
          <w:szCs w:val="20"/>
        </w:rPr>
        <w:t>49</w:t>
      </w:r>
      <w:r w:rsidR="00CE5E68" w:rsidRPr="00C62050">
        <w:rPr>
          <w:rFonts w:ascii="Arial" w:hAnsi="Arial" w:cs="Arial"/>
          <w:szCs w:val="20"/>
        </w:rPr>
        <w:t>.1</w:t>
      </w:r>
      <w:r w:rsidRPr="00C62050">
        <w:rPr>
          <w:rFonts w:ascii="Arial" w:hAnsi="Arial" w:cs="Arial"/>
          <w:szCs w:val="20"/>
        </w:rPr>
        <w:t xml:space="preserve">Mln. </w:t>
      </w:r>
      <w:r w:rsidR="00F15AAC" w:rsidRPr="00C62050">
        <w:rPr>
          <w:rFonts w:ascii="Arial" w:hAnsi="Arial" w:cs="Arial"/>
          <w:szCs w:val="20"/>
        </w:rPr>
        <w:t>T</w:t>
      </w:r>
      <w:r w:rsidRPr="00C62050">
        <w:rPr>
          <w:rFonts w:ascii="Arial" w:hAnsi="Arial" w:cs="Arial"/>
          <w:szCs w:val="20"/>
        </w:rPr>
        <w:t xml:space="preserve">hese </w:t>
      </w:r>
      <w:r w:rsidR="00F15AAC" w:rsidRPr="00C62050">
        <w:rPr>
          <w:rFonts w:ascii="Arial" w:hAnsi="Arial" w:cs="Arial"/>
          <w:szCs w:val="20"/>
        </w:rPr>
        <w:t>facilities</w:t>
      </w:r>
      <w:r w:rsidR="00F15AAC" w:rsidRPr="00C62050">
        <w:rPr>
          <w:rStyle w:val="FootnoteReference"/>
          <w:rFonts w:ascii="Arial" w:hAnsi="Arial" w:cs="Arial"/>
          <w:szCs w:val="20"/>
        </w:rPr>
        <w:footnoteReference w:id="9"/>
      </w:r>
      <w:r w:rsidR="00F15AAC" w:rsidRPr="00C62050">
        <w:rPr>
          <w:rFonts w:ascii="Arial" w:hAnsi="Arial" w:cs="Arial"/>
          <w:szCs w:val="20"/>
        </w:rPr>
        <w:t xml:space="preserve"> are automatically assigned to Stage 2, and </w:t>
      </w:r>
      <w:r w:rsidR="00865EB0" w:rsidRPr="00C62050">
        <w:rPr>
          <w:rFonts w:ascii="Arial" w:hAnsi="Arial" w:cs="Arial"/>
          <w:szCs w:val="20"/>
        </w:rPr>
        <w:t xml:space="preserve">are </w:t>
      </w:r>
      <w:r w:rsidR="00F15AAC" w:rsidRPr="00C62050">
        <w:rPr>
          <w:rFonts w:ascii="Arial" w:hAnsi="Arial" w:cs="Arial"/>
          <w:szCs w:val="20"/>
        </w:rPr>
        <w:t>not individually rebutted given practicality</w:t>
      </w:r>
      <w:r w:rsidRPr="00C62050">
        <w:rPr>
          <w:rFonts w:ascii="Arial" w:hAnsi="Arial" w:cs="Arial"/>
          <w:szCs w:val="20"/>
        </w:rPr>
        <w:t xml:space="preserve">. </w:t>
      </w:r>
      <w:r w:rsidR="00F15AAC" w:rsidRPr="00C62050">
        <w:rPr>
          <w:rFonts w:ascii="Arial" w:hAnsi="Arial" w:cs="Arial"/>
          <w:szCs w:val="20"/>
        </w:rPr>
        <w:t xml:space="preserve">The ECL amount attributed to the Retail </w:t>
      </w:r>
    </w:p>
    <w:sectPr w:rsidR="00313F91" w:rsidRPr="00D1038B" w:rsidSect="003C39C6"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0665C4" w14:textId="77777777" w:rsidR="00A12031" w:rsidRDefault="00A12031" w:rsidP="00D05073">
      <w:pPr>
        <w:spacing w:after="0" w:line="240" w:lineRule="auto"/>
      </w:pPr>
      <w:r>
        <w:separator/>
      </w:r>
    </w:p>
  </w:endnote>
  <w:endnote w:type="continuationSeparator" w:id="0">
    <w:p w14:paraId="14CFA75D" w14:textId="77777777" w:rsidR="00A12031" w:rsidRDefault="00A12031" w:rsidP="00D05073">
      <w:pPr>
        <w:spacing w:after="0" w:line="240" w:lineRule="auto"/>
      </w:pPr>
      <w:r>
        <w:continuationSeparator/>
      </w:r>
    </w:p>
  </w:endnote>
  <w:endnote w:type="continuationNotice" w:id="1">
    <w:p w14:paraId="277344B1" w14:textId="77777777" w:rsidR="00A12031" w:rsidRDefault="00A1203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EYInterstate Light">
    <w:altName w:val="Arial Narrow"/>
    <w:charset w:val="00"/>
    <w:family w:val="auto"/>
    <w:pitch w:val="variable"/>
    <w:sig w:usb0="800002AF" w:usb1="5000204A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YInterstate">
    <w:charset w:val="00"/>
    <w:family w:val="auto"/>
    <w:pitch w:val="variable"/>
    <w:sig w:usb0="A00002AF" w:usb1="5000206A" w:usb2="00000000" w:usb3="00000000" w:csb0="0000009F" w:csb1="00000000"/>
  </w:font>
  <w:font w:name="EYInterstate Light 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32115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4539FF" w14:textId="60BBEE77" w:rsidR="00C116CA" w:rsidRDefault="00C116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260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3062382" w14:textId="77777777" w:rsidR="00F442D9" w:rsidRDefault="00F442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070C3A" w14:textId="77777777" w:rsidR="00A12031" w:rsidRDefault="00A12031" w:rsidP="00D05073">
      <w:pPr>
        <w:spacing w:after="0" w:line="240" w:lineRule="auto"/>
      </w:pPr>
      <w:r>
        <w:separator/>
      </w:r>
    </w:p>
  </w:footnote>
  <w:footnote w:type="continuationSeparator" w:id="0">
    <w:p w14:paraId="12B88348" w14:textId="77777777" w:rsidR="00A12031" w:rsidRDefault="00A12031" w:rsidP="00D05073">
      <w:pPr>
        <w:spacing w:after="0" w:line="240" w:lineRule="auto"/>
      </w:pPr>
      <w:r>
        <w:continuationSeparator/>
      </w:r>
    </w:p>
  </w:footnote>
  <w:footnote w:type="continuationNotice" w:id="1">
    <w:p w14:paraId="16364F05" w14:textId="77777777" w:rsidR="00A12031" w:rsidRDefault="00A12031">
      <w:pPr>
        <w:spacing w:after="0" w:line="240" w:lineRule="auto"/>
      </w:pPr>
    </w:p>
  </w:footnote>
  <w:footnote w:id="2">
    <w:p w14:paraId="796EFDA6" w14:textId="0583B6D5" w:rsidR="00D1414B" w:rsidRDefault="00D1414B">
      <w:pPr>
        <w:pStyle w:val="FootnoteText"/>
      </w:pPr>
      <w:r>
        <w:rPr>
          <w:rStyle w:val="FootnoteReference"/>
        </w:rPr>
        <w:footnoteRef/>
      </w:r>
      <w:r>
        <w:t xml:space="preserve"> ECL calculations will be </w:t>
      </w:r>
      <w:r w:rsidR="001B6EAF">
        <w:t xml:space="preserve">mostly </w:t>
      </w:r>
      <w:r>
        <w:t>performed centrally as described above, however the booking of ECL’s may be allocated between branch and head office as deemed appropriate.</w:t>
      </w:r>
      <w:r w:rsidR="00FC4EC3">
        <w:t xml:space="preserve"> At the time of writing the ECL calculation for QNB Tunisia will be processed at Group.</w:t>
      </w:r>
    </w:p>
  </w:footnote>
  <w:footnote w:id="3">
    <w:p w14:paraId="1C081DBB" w14:textId="671FFF6A" w:rsidR="001B6EAF" w:rsidRDefault="001B6EAF">
      <w:pPr>
        <w:pStyle w:val="FootnoteText"/>
      </w:pPr>
      <w:r>
        <w:rPr>
          <w:rStyle w:val="FootnoteReference"/>
        </w:rPr>
        <w:footnoteRef/>
      </w:r>
      <w:r>
        <w:t xml:space="preserve"> All ECL Impacts expressed in </w:t>
      </w:r>
      <w:r w:rsidR="00170940">
        <w:t>this memo demonstrate the effect</w:t>
      </w:r>
      <w:r>
        <w:t xml:space="preserve"> of IFRS9 staging alone and does not take into account any general provisions that may already be held for these facilities.</w:t>
      </w:r>
    </w:p>
  </w:footnote>
  <w:footnote w:id="4">
    <w:p w14:paraId="124A5A32" w14:textId="7E2846C8" w:rsidR="00170940" w:rsidRDefault="00170940">
      <w:pPr>
        <w:pStyle w:val="FootnoteText"/>
      </w:pPr>
      <w:r>
        <w:rPr>
          <w:rStyle w:val="FootnoteReference"/>
        </w:rPr>
        <w:footnoteRef/>
      </w:r>
      <w:r>
        <w:t xml:space="preserve"> In certain circumstances a rescheduling may be deemed significant enough to move a facility from Stage 1 directly to Stage 2 (to be addressed in Policy). The ECL impact has assumed all existing</w:t>
      </w:r>
    </w:p>
  </w:footnote>
  <w:footnote w:id="5">
    <w:p w14:paraId="7F0DFC13" w14:textId="37024F47" w:rsidR="00170940" w:rsidRDefault="00170940">
      <w:pPr>
        <w:pStyle w:val="FootnoteText"/>
      </w:pPr>
      <w:r>
        <w:rPr>
          <w:rStyle w:val="FootnoteReference"/>
        </w:rPr>
        <w:footnoteRef/>
      </w:r>
      <w:r>
        <w:t xml:space="preserve"> The ECL impact has assumed all existing rescheduled facilities are allocated to Stage 2.</w:t>
      </w:r>
    </w:p>
  </w:footnote>
  <w:footnote w:id="6">
    <w:p w14:paraId="77433A2C" w14:textId="7E769A84" w:rsidR="003A5AB4" w:rsidRPr="00340987" w:rsidRDefault="003A5AB4">
      <w:pPr>
        <w:pStyle w:val="FootnoteText"/>
        <w:spacing w:before="120" w:after="120"/>
        <w:rPr>
          <w:rFonts w:ascii="Arial" w:hAnsi="Arial" w:cs="Arial"/>
          <w:sz w:val="18"/>
        </w:rPr>
      </w:pPr>
      <w:r w:rsidRPr="00340987">
        <w:rPr>
          <w:rStyle w:val="FootnoteReference"/>
          <w:rFonts w:ascii="Arial" w:hAnsi="Arial" w:cs="Arial"/>
          <w:sz w:val="18"/>
        </w:rPr>
        <w:footnoteRef/>
      </w:r>
      <w:r w:rsidRPr="00340987">
        <w:rPr>
          <w:rFonts w:ascii="Arial" w:hAnsi="Arial" w:cs="Arial"/>
          <w:sz w:val="18"/>
        </w:rPr>
        <w:t xml:space="preserve"> </w:t>
      </w:r>
      <w:r w:rsidRPr="00C62050">
        <w:rPr>
          <w:rFonts w:ascii="Arial" w:hAnsi="Arial" w:cs="Arial"/>
          <w:sz w:val="18"/>
        </w:rPr>
        <w:t>Cu</w:t>
      </w:r>
      <w:r w:rsidR="001B6EAF" w:rsidRPr="00C62050">
        <w:rPr>
          <w:rFonts w:ascii="Arial" w:hAnsi="Arial" w:cs="Arial"/>
          <w:sz w:val="18"/>
        </w:rPr>
        <w:t>stomers who are identified as</w:t>
      </w:r>
      <w:r w:rsidRPr="00C62050">
        <w:rPr>
          <w:rFonts w:ascii="Arial" w:hAnsi="Arial" w:cs="Arial"/>
          <w:sz w:val="18"/>
        </w:rPr>
        <w:t xml:space="preserve"> unrated </w:t>
      </w:r>
      <w:r w:rsidR="00CE382F" w:rsidRPr="00C62050">
        <w:rPr>
          <w:rFonts w:ascii="Arial" w:hAnsi="Arial" w:cs="Arial"/>
          <w:sz w:val="18"/>
        </w:rPr>
        <w:t xml:space="preserve">at date of transition </w:t>
      </w:r>
      <w:r w:rsidRPr="00C62050">
        <w:rPr>
          <w:rFonts w:ascii="Arial" w:hAnsi="Arial" w:cs="Arial"/>
          <w:sz w:val="18"/>
        </w:rPr>
        <w:t>will be moved to Stage 2 and assigned an ORR of “5-“</w:t>
      </w:r>
      <w:r w:rsidR="00CE382F" w:rsidRPr="00C62050">
        <w:rPr>
          <w:rFonts w:ascii="Arial" w:hAnsi="Arial" w:cs="Arial"/>
          <w:sz w:val="18"/>
        </w:rPr>
        <w:t>, and thereafter individually assessed under BAU</w:t>
      </w:r>
      <w:r w:rsidR="00CE382F">
        <w:rPr>
          <w:rFonts w:ascii="Arial" w:hAnsi="Arial" w:cs="Arial"/>
          <w:sz w:val="18"/>
        </w:rPr>
        <w:t xml:space="preserve"> </w:t>
      </w:r>
    </w:p>
  </w:footnote>
  <w:footnote w:id="7">
    <w:p w14:paraId="21F243C2" w14:textId="69C6D7A5" w:rsidR="007B0443" w:rsidRPr="00340987" w:rsidRDefault="007B0443">
      <w:pPr>
        <w:pStyle w:val="FootnoteText"/>
        <w:spacing w:before="120" w:after="120"/>
        <w:rPr>
          <w:rFonts w:ascii="Arial" w:hAnsi="Arial" w:cs="Arial"/>
        </w:rPr>
      </w:pPr>
      <w:r w:rsidRPr="00340987">
        <w:rPr>
          <w:rStyle w:val="FootnoteReference"/>
          <w:rFonts w:ascii="Arial" w:hAnsi="Arial" w:cs="Arial"/>
          <w:sz w:val="18"/>
        </w:rPr>
        <w:footnoteRef/>
      </w:r>
      <w:r w:rsidRPr="00340987">
        <w:rPr>
          <w:rFonts w:ascii="Arial" w:hAnsi="Arial" w:cs="Arial"/>
          <w:sz w:val="18"/>
        </w:rPr>
        <w:t xml:space="preserve"> QNB will use 2013 as </w:t>
      </w:r>
      <w:r w:rsidR="009714EA">
        <w:rPr>
          <w:rFonts w:ascii="Arial" w:hAnsi="Arial" w:cs="Arial"/>
          <w:sz w:val="18"/>
        </w:rPr>
        <w:t xml:space="preserve">the </w:t>
      </w:r>
      <w:r w:rsidRPr="00340987">
        <w:rPr>
          <w:rFonts w:ascii="Arial" w:hAnsi="Arial" w:cs="Arial"/>
          <w:sz w:val="18"/>
        </w:rPr>
        <w:t>base year for</w:t>
      </w:r>
      <w:r w:rsidR="00170940">
        <w:rPr>
          <w:rFonts w:ascii="Arial" w:hAnsi="Arial" w:cs="Arial"/>
          <w:sz w:val="18"/>
        </w:rPr>
        <w:t xml:space="preserve"> risk ratings at</w:t>
      </w:r>
      <w:r w:rsidRPr="00340987">
        <w:rPr>
          <w:rFonts w:ascii="Arial" w:hAnsi="Arial" w:cs="Arial"/>
          <w:sz w:val="18"/>
        </w:rPr>
        <w:t xml:space="preserve"> origination</w:t>
      </w:r>
      <w:r w:rsidR="00170940">
        <w:rPr>
          <w:rFonts w:ascii="Arial" w:hAnsi="Arial" w:cs="Arial"/>
          <w:sz w:val="18"/>
        </w:rPr>
        <w:t xml:space="preserve"> per </w:t>
      </w:r>
      <w:r w:rsidR="009714EA">
        <w:rPr>
          <w:rFonts w:ascii="Arial" w:hAnsi="Arial" w:cs="Arial"/>
          <w:sz w:val="18"/>
        </w:rPr>
        <w:t>Technical Interpretation Note – “SICR at Transition”</w:t>
      </w:r>
    </w:p>
  </w:footnote>
  <w:footnote w:id="8">
    <w:p w14:paraId="4E09F500" w14:textId="7ECE91B1" w:rsidR="004B58CB" w:rsidRDefault="004B58CB">
      <w:pPr>
        <w:pStyle w:val="FootnoteText"/>
      </w:pPr>
      <w:r w:rsidRPr="00C62050">
        <w:rPr>
          <w:rStyle w:val="FootnoteReference"/>
        </w:rPr>
        <w:footnoteRef/>
      </w:r>
      <w:r w:rsidRPr="00C62050">
        <w:t xml:space="preserve"> Impact as at 31-Mar-17 are preliminary </w:t>
      </w:r>
      <w:r w:rsidR="00950922">
        <w:t>exposures (</w:t>
      </w:r>
      <w:r w:rsidR="00950922" w:rsidRPr="00C62050">
        <w:rPr>
          <w:i/>
          <w:iCs/>
        </w:rPr>
        <w:t>not ECL</w:t>
      </w:r>
      <w:r w:rsidR="00950922">
        <w:rPr>
          <w:i/>
          <w:iCs/>
        </w:rPr>
        <w:t xml:space="preserve"> calculations</w:t>
      </w:r>
      <w:r w:rsidR="00950922">
        <w:t xml:space="preserve">) </w:t>
      </w:r>
      <w:r w:rsidRPr="00C62050">
        <w:t>and are being validated as part of UAT exercise underway.</w:t>
      </w:r>
      <w:r>
        <w:t xml:space="preserve">  </w:t>
      </w:r>
    </w:p>
  </w:footnote>
  <w:footnote w:id="9">
    <w:p w14:paraId="0618C1C5" w14:textId="6977E4F0" w:rsidR="00F15AAC" w:rsidRPr="00C62050" w:rsidRDefault="00F15AAC">
      <w:pPr>
        <w:pStyle w:val="FootnoteText"/>
        <w:rPr>
          <w:sz w:val="18"/>
          <w:szCs w:val="18"/>
        </w:rPr>
      </w:pPr>
      <w:r w:rsidRPr="00C62050">
        <w:rPr>
          <w:rStyle w:val="FootnoteReference"/>
        </w:rPr>
        <w:footnoteRef/>
      </w:r>
      <w:r w:rsidRPr="00C62050">
        <w:t xml:space="preserve"> </w:t>
      </w:r>
      <w:r w:rsidRPr="00C62050">
        <w:rPr>
          <w:sz w:val="18"/>
          <w:szCs w:val="18"/>
        </w:rPr>
        <w:t>No cross default applies to Retail</w:t>
      </w:r>
      <w:r w:rsidR="00865EB0" w:rsidRPr="00C62050">
        <w:rPr>
          <w:sz w:val="18"/>
          <w:szCs w:val="18"/>
        </w:rPr>
        <w:t xml:space="preserve"> </w:t>
      </w:r>
      <w:r w:rsidR="00CE5E68" w:rsidRPr="00C62050">
        <w:rPr>
          <w:sz w:val="18"/>
          <w:szCs w:val="18"/>
        </w:rPr>
        <w:t>facilities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BB50DA49BF174133B003B5D3D9DDAC8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50D36E3F" w14:textId="4FD28B15" w:rsidR="00950922" w:rsidRDefault="00950922" w:rsidP="0095092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Credit Risk IFRS9 Staging Memo</w:t>
        </w:r>
      </w:p>
    </w:sdtContent>
  </w:sdt>
  <w:p w14:paraId="4A379171" w14:textId="77777777" w:rsidR="00950922" w:rsidRDefault="009509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2545A"/>
    <w:multiLevelType w:val="hybridMultilevel"/>
    <w:tmpl w:val="9ADC56F2"/>
    <w:lvl w:ilvl="0" w:tplc="EA78A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1E18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68C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B0C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BEFA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DE0E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82DA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E5C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90EF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4E3385D"/>
    <w:multiLevelType w:val="hybridMultilevel"/>
    <w:tmpl w:val="84E856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7731A"/>
    <w:multiLevelType w:val="hybridMultilevel"/>
    <w:tmpl w:val="7940035A"/>
    <w:lvl w:ilvl="0" w:tplc="43269E36">
      <w:start w:val="1"/>
      <w:numFmt w:val="upperRoman"/>
      <w:pStyle w:val="NumberedHeading1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051CA6"/>
    <w:multiLevelType w:val="hybridMultilevel"/>
    <w:tmpl w:val="84E856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121410"/>
    <w:multiLevelType w:val="hybridMultilevel"/>
    <w:tmpl w:val="ADEE0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AEB0B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446F27"/>
    <w:multiLevelType w:val="multilevel"/>
    <w:tmpl w:val="718698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0E2D0132"/>
    <w:multiLevelType w:val="hybridMultilevel"/>
    <w:tmpl w:val="FDDE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611CF9"/>
    <w:multiLevelType w:val="hybridMultilevel"/>
    <w:tmpl w:val="84E856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07683B"/>
    <w:multiLevelType w:val="multilevel"/>
    <w:tmpl w:val="A600CA38"/>
    <w:styleLink w:val="List-SoWSchedule"/>
    <w:lvl w:ilvl="0">
      <w:start w:val="1"/>
      <w:numFmt w:val="decimal"/>
      <w:pStyle w:val="021-SoW-Schedule-01-Lev1-Heading"/>
      <w:lvlText w:val="%1."/>
      <w:lvlJc w:val="left"/>
      <w:pPr>
        <w:tabs>
          <w:tab w:val="num" w:pos="720"/>
        </w:tabs>
        <w:ind w:left="720" w:hanging="720"/>
      </w:pPr>
      <w:rPr>
        <w:rFonts w:ascii="EYInterstate Light" w:hAnsi="EYInterstate Light" w:hint="default"/>
      </w:rPr>
    </w:lvl>
    <w:lvl w:ilvl="1">
      <w:start w:val="1"/>
      <w:numFmt w:val="decimal"/>
      <w:pStyle w:val="021-SoW-Schedule-02-Lev2-Heading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021-SoW-Schedule-03-Lev3-Heading"/>
      <w:lvlText w:val="%1.%2.%3"/>
      <w:lvlJc w:val="left"/>
      <w:pPr>
        <w:tabs>
          <w:tab w:val="num" w:pos="720"/>
        </w:tabs>
        <w:ind w:left="720" w:hanging="720"/>
      </w:pPr>
      <w:rPr>
        <w:strike w:val="0"/>
        <w:dstrike w:val="0"/>
        <w:u w:val="none"/>
        <w:effect w:val="none"/>
      </w:rPr>
    </w:lvl>
    <w:lvl w:ilvl="3">
      <w:start w:val="1"/>
      <w:numFmt w:val="none"/>
      <w:lvlRestart w:val="1"/>
      <w:pStyle w:val="021-SoW-Schedule-05-Lev4-Section"/>
      <w:lvlText w:val=""/>
      <w:lvlJc w:val="left"/>
      <w:pPr>
        <w:tabs>
          <w:tab w:val="num" w:pos="720"/>
        </w:tabs>
        <w:ind w:left="720" w:firstLine="0"/>
      </w:pPr>
    </w:lvl>
    <w:lvl w:ilvl="4">
      <w:start w:val="1"/>
      <w:numFmt w:val="decimal"/>
      <w:lvlRestart w:val="1"/>
      <w:pStyle w:val="021-SoW-Schedule-06-Lev5-Section"/>
      <w:lvlText w:val="%1.%5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Restart w:val="2"/>
      <w:pStyle w:val="021-SoW-Schedule-07-Lev6-Section"/>
      <w:lvlText w:val="%4%1.%2.%6"/>
      <w:lvlJc w:val="left"/>
      <w:pPr>
        <w:tabs>
          <w:tab w:val="num" w:pos="720"/>
        </w:tabs>
        <w:ind w:left="720" w:hanging="720"/>
      </w:pPr>
    </w:lvl>
    <w:lvl w:ilvl="6">
      <w:start w:val="1"/>
      <w:numFmt w:val="lowerLetter"/>
      <w:lvlRestart w:val="4"/>
      <w:pStyle w:val="021-SoW-Schedule-08-Lev7-Section"/>
      <w:lvlText w:val="(%7)"/>
      <w:lvlJc w:val="left"/>
      <w:pPr>
        <w:tabs>
          <w:tab w:val="num" w:pos="1440"/>
        </w:tabs>
        <w:ind w:left="1440" w:hanging="720"/>
      </w:pPr>
    </w:lvl>
    <w:lvl w:ilvl="7">
      <w:start w:val="1"/>
      <w:numFmt w:val="lowerRoman"/>
      <w:pStyle w:val="021-SoW-Schedule-09-Lev8-Section"/>
      <w:lvlText w:val="(%8)"/>
      <w:lvlJc w:val="left"/>
      <w:pPr>
        <w:tabs>
          <w:tab w:val="num" w:pos="2160"/>
        </w:tabs>
        <w:ind w:left="2160" w:hanging="720"/>
      </w:pPr>
    </w:lvl>
    <w:lvl w:ilvl="8">
      <w:start w:val="1"/>
      <w:numFmt w:val="upperLetter"/>
      <w:pStyle w:val="021-SoW-Schedule-10-Lev9-Section"/>
      <w:lvlText w:val="%9."/>
      <w:lvlJc w:val="left"/>
      <w:pPr>
        <w:tabs>
          <w:tab w:val="num" w:pos="2880"/>
        </w:tabs>
        <w:ind w:left="2880" w:hanging="720"/>
      </w:pPr>
    </w:lvl>
  </w:abstractNum>
  <w:abstractNum w:abstractNumId="9">
    <w:nsid w:val="114F4224"/>
    <w:multiLevelType w:val="hybridMultilevel"/>
    <w:tmpl w:val="214A89D4"/>
    <w:lvl w:ilvl="0" w:tplc="0648640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F8660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B2E23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B628F7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63424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856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EE8DCD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93C5C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DDE0DC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>
    <w:nsid w:val="13B54DDB"/>
    <w:multiLevelType w:val="hybridMultilevel"/>
    <w:tmpl w:val="3E522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5F6233A"/>
    <w:multiLevelType w:val="multilevel"/>
    <w:tmpl w:val="433CB5FC"/>
    <w:styleLink w:val="List-SoW"/>
    <w:lvl w:ilvl="0">
      <w:start w:val="1"/>
      <w:numFmt w:val="decimal"/>
      <w:pStyle w:val="02-SoW-03-01-Lev1-Heading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02-SoW-03-02-Lev2-Heading"/>
      <w:lvlText w:val="%1.%2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decimal"/>
      <w:pStyle w:val="02-SoW-03-03-Lev3-Heading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none"/>
      <w:lvlRestart w:val="0"/>
      <w:pStyle w:val="02-SoW-03-05-Lev4-Section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decimal"/>
      <w:lvlRestart w:val="1"/>
      <w:pStyle w:val="02-SoW-03-06-Lev5-Section"/>
      <w:lvlText w:val="%1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Restart w:val="2"/>
      <w:pStyle w:val="02-SoW-03-07-Lev6-Section"/>
      <w:lvlText w:val="%1.%2.%6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6">
      <w:start w:val="1"/>
      <w:numFmt w:val="lowerLetter"/>
      <w:lvlRestart w:val="5"/>
      <w:pStyle w:val="02-SoW-03-08-Lev7-Section"/>
      <w:lvlText w:val="(%7)"/>
      <w:lvlJc w:val="left"/>
      <w:pPr>
        <w:tabs>
          <w:tab w:val="num" w:pos="630"/>
        </w:tabs>
        <w:ind w:left="1350" w:hanging="720"/>
      </w:pPr>
      <w:rPr>
        <w:rFonts w:hint="default"/>
      </w:rPr>
    </w:lvl>
    <w:lvl w:ilvl="7">
      <w:start w:val="1"/>
      <w:numFmt w:val="lowerRoman"/>
      <w:pStyle w:val="02-SoW-03-09-Lev8-Section"/>
      <w:lvlText w:val="(%8)"/>
      <w:lvlJc w:val="left"/>
      <w:pPr>
        <w:tabs>
          <w:tab w:val="num" w:pos="1440"/>
        </w:tabs>
        <w:ind w:left="2160" w:hanging="720"/>
      </w:pPr>
      <w:rPr>
        <w:rFonts w:hint="default"/>
      </w:rPr>
    </w:lvl>
    <w:lvl w:ilvl="8">
      <w:start w:val="1"/>
      <w:numFmt w:val="upperLetter"/>
      <w:pStyle w:val="02-SoW-03-10-Lev9-Section"/>
      <w:lvlText w:val="%9."/>
      <w:lvlJc w:val="left"/>
      <w:pPr>
        <w:tabs>
          <w:tab w:val="num" w:pos="2160"/>
        </w:tabs>
        <w:ind w:left="2880" w:hanging="720"/>
      </w:pPr>
      <w:rPr>
        <w:rFonts w:hint="default"/>
      </w:rPr>
    </w:lvl>
  </w:abstractNum>
  <w:abstractNum w:abstractNumId="12">
    <w:nsid w:val="188B4C29"/>
    <w:multiLevelType w:val="hybridMultilevel"/>
    <w:tmpl w:val="84E856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663044"/>
    <w:multiLevelType w:val="hybridMultilevel"/>
    <w:tmpl w:val="55BA203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CBE5D45"/>
    <w:multiLevelType w:val="hybridMultilevel"/>
    <w:tmpl w:val="C3E6CD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ED63DAB"/>
    <w:multiLevelType w:val="hybridMultilevel"/>
    <w:tmpl w:val="11AA24E2"/>
    <w:lvl w:ilvl="0" w:tplc="5A3055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A0C3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08EE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E832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AC2F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D4B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10D0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BA56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02E9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30C53335"/>
    <w:multiLevelType w:val="hybridMultilevel"/>
    <w:tmpl w:val="468CFB76"/>
    <w:lvl w:ilvl="0" w:tplc="76C874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0EBA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01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3E6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84A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7E01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3CFD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AC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1456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31F12908"/>
    <w:multiLevelType w:val="hybridMultilevel"/>
    <w:tmpl w:val="84E856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A928CC"/>
    <w:multiLevelType w:val="hybridMultilevel"/>
    <w:tmpl w:val="84E856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992143"/>
    <w:multiLevelType w:val="hybridMultilevel"/>
    <w:tmpl w:val="C3E6CD4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AD7C82"/>
    <w:multiLevelType w:val="multilevel"/>
    <w:tmpl w:val="10DAC738"/>
    <w:lvl w:ilvl="0">
      <w:start w:val="1"/>
      <w:numFmt w:val="bullet"/>
      <w:pStyle w:val="EYBulletedtext1"/>
      <w:lvlText w:val=""/>
      <w:lvlJc w:val="left"/>
      <w:pPr>
        <w:tabs>
          <w:tab w:val="num" w:pos="425"/>
        </w:tabs>
        <w:ind w:left="425" w:hanging="425"/>
      </w:pPr>
      <w:rPr>
        <w:rFonts w:ascii="Wingdings 3" w:hAnsi="Wingdings 3" w:cs="Times New Roman" w:hint="default"/>
        <w:color w:val="auto"/>
        <w:szCs w:val="24"/>
      </w:rPr>
    </w:lvl>
    <w:lvl w:ilvl="1">
      <w:start w:val="1"/>
      <w:numFmt w:val="bullet"/>
      <w:pStyle w:val="EYBulletedtext2"/>
      <w:lvlText w:val=""/>
      <w:lvlJc w:val="left"/>
      <w:pPr>
        <w:tabs>
          <w:tab w:val="num" w:pos="851"/>
        </w:tabs>
        <w:ind w:left="851" w:hanging="426"/>
      </w:pPr>
      <w:rPr>
        <w:rFonts w:ascii="Wingdings 3" w:hAnsi="Wingdings 3" w:cs="Times New Roman" w:hint="default"/>
        <w:color w:val="auto"/>
        <w:szCs w:val="24"/>
      </w:rPr>
    </w:lvl>
    <w:lvl w:ilvl="2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0" w:firstLine="0"/>
      </w:pPr>
      <w:rPr>
        <w:rFonts w:hint="default"/>
      </w:rPr>
    </w:lvl>
  </w:abstractNum>
  <w:abstractNum w:abstractNumId="21">
    <w:nsid w:val="3D23386D"/>
    <w:multiLevelType w:val="hybridMultilevel"/>
    <w:tmpl w:val="EC9CD41C"/>
    <w:lvl w:ilvl="0" w:tplc="E0E2C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EE71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81E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B40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0EA6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D65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72CA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2FA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3C40A57"/>
    <w:multiLevelType w:val="hybridMultilevel"/>
    <w:tmpl w:val="A88C9D0A"/>
    <w:lvl w:ilvl="0" w:tplc="1840A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E0C5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4696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7C18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0C1C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A2FC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B270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4CA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F4C2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41341E3"/>
    <w:multiLevelType w:val="hybridMultilevel"/>
    <w:tmpl w:val="AB5E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170E3C"/>
    <w:multiLevelType w:val="hybridMultilevel"/>
    <w:tmpl w:val="4FCC9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CC790B"/>
    <w:multiLevelType w:val="multilevel"/>
    <w:tmpl w:val="718698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>
    <w:nsid w:val="61682784"/>
    <w:multiLevelType w:val="hybridMultilevel"/>
    <w:tmpl w:val="04F0D478"/>
    <w:lvl w:ilvl="0" w:tplc="4009000F">
      <w:start w:val="1"/>
      <w:numFmt w:val="decimal"/>
      <w:lvlText w:val="%1."/>
      <w:lvlJc w:val="left"/>
      <w:pPr>
        <w:ind w:left="44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92" w:hanging="360"/>
      </w:pPr>
    </w:lvl>
    <w:lvl w:ilvl="2" w:tplc="4009001B" w:tentative="1">
      <w:start w:val="1"/>
      <w:numFmt w:val="lowerRoman"/>
      <w:lvlText w:val="%3."/>
      <w:lvlJc w:val="right"/>
      <w:pPr>
        <w:ind w:left="5912" w:hanging="180"/>
      </w:pPr>
    </w:lvl>
    <w:lvl w:ilvl="3" w:tplc="4009000F" w:tentative="1">
      <w:start w:val="1"/>
      <w:numFmt w:val="decimal"/>
      <w:lvlText w:val="%4."/>
      <w:lvlJc w:val="left"/>
      <w:pPr>
        <w:ind w:left="6632" w:hanging="360"/>
      </w:pPr>
    </w:lvl>
    <w:lvl w:ilvl="4" w:tplc="40090019" w:tentative="1">
      <w:start w:val="1"/>
      <w:numFmt w:val="lowerLetter"/>
      <w:lvlText w:val="%5."/>
      <w:lvlJc w:val="left"/>
      <w:pPr>
        <w:ind w:left="7352" w:hanging="360"/>
      </w:pPr>
    </w:lvl>
    <w:lvl w:ilvl="5" w:tplc="4009001B" w:tentative="1">
      <w:start w:val="1"/>
      <w:numFmt w:val="lowerRoman"/>
      <w:lvlText w:val="%6."/>
      <w:lvlJc w:val="right"/>
      <w:pPr>
        <w:ind w:left="8072" w:hanging="180"/>
      </w:pPr>
    </w:lvl>
    <w:lvl w:ilvl="6" w:tplc="4009000F" w:tentative="1">
      <w:start w:val="1"/>
      <w:numFmt w:val="decimal"/>
      <w:lvlText w:val="%7."/>
      <w:lvlJc w:val="left"/>
      <w:pPr>
        <w:ind w:left="8792" w:hanging="360"/>
      </w:pPr>
    </w:lvl>
    <w:lvl w:ilvl="7" w:tplc="40090019" w:tentative="1">
      <w:start w:val="1"/>
      <w:numFmt w:val="lowerLetter"/>
      <w:lvlText w:val="%8."/>
      <w:lvlJc w:val="left"/>
      <w:pPr>
        <w:ind w:left="9512" w:hanging="360"/>
      </w:pPr>
    </w:lvl>
    <w:lvl w:ilvl="8" w:tplc="4009001B" w:tentative="1">
      <w:start w:val="1"/>
      <w:numFmt w:val="lowerRoman"/>
      <w:lvlText w:val="%9."/>
      <w:lvlJc w:val="right"/>
      <w:pPr>
        <w:ind w:left="10232" w:hanging="180"/>
      </w:pPr>
    </w:lvl>
  </w:abstractNum>
  <w:abstractNum w:abstractNumId="27">
    <w:nsid w:val="61AF5500"/>
    <w:multiLevelType w:val="hybridMultilevel"/>
    <w:tmpl w:val="A0DA7206"/>
    <w:lvl w:ilvl="0" w:tplc="46C450C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DA3FDC"/>
    <w:multiLevelType w:val="multilevel"/>
    <w:tmpl w:val="718698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>
    <w:nsid w:val="62011BE9"/>
    <w:multiLevelType w:val="hybridMultilevel"/>
    <w:tmpl w:val="DB04D85C"/>
    <w:lvl w:ilvl="0" w:tplc="61B01476">
      <w:start w:val="1"/>
      <w:numFmt w:val="upperRoman"/>
      <w:pStyle w:val="NumberedHeading3"/>
      <w:lvlText w:val="%1."/>
      <w:lvlJc w:val="right"/>
      <w:pPr>
        <w:ind w:left="720" w:hanging="360"/>
      </w:pPr>
    </w:lvl>
    <w:lvl w:ilvl="1" w:tplc="554221F4" w:tentative="1">
      <w:start w:val="1"/>
      <w:numFmt w:val="lowerLetter"/>
      <w:lvlText w:val="%2."/>
      <w:lvlJc w:val="left"/>
      <w:pPr>
        <w:ind w:left="1440" w:hanging="360"/>
      </w:pPr>
    </w:lvl>
    <w:lvl w:ilvl="2" w:tplc="EF88C690" w:tentative="1">
      <w:start w:val="1"/>
      <w:numFmt w:val="lowerRoman"/>
      <w:lvlText w:val="%3."/>
      <w:lvlJc w:val="right"/>
      <w:pPr>
        <w:ind w:left="2160" w:hanging="180"/>
      </w:pPr>
    </w:lvl>
    <w:lvl w:ilvl="3" w:tplc="32425E7A" w:tentative="1">
      <w:start w:val="1"/>
      <w:numFmt w:val="decimal"/>
      <w:lvlText w:val="%4."/>
      <w:lvlJc w:val="left"/>
      <w:pPr>
        <w:ind w:left="2880" w:hanging="360"/>
      </w:pPr>
    </w:lvl>
    <w:lvl w:ilvl="4" w:tplc="C2CCAEDC" w:tentative="1">
      <w:start w:val="1"/>
      <w:numFmt w:val="lowerLetter"/>
      <w:lvlText w:val="%5."/>
      <w:lvlJc w:val="left"/>
      <w:pPr>
        <w:ind w:left="3600" w:hanging="360"/>
      </w:pPr>
    </w:lvl>
    <w:lvl w:ilvl="5" w:tplc="C3D43EBA" w:tentative="1">
      <w:start w:val="1"/>
      <w:numFmt w:val="lowerRoman"/>
      <w:lvlText w:val="%6."/>
      <w:lvlJc w:val="right"/>
      <w:pPr>
        <w:ind w:left="4320" w:hanging="180"/>
      </w:pPr>
    </w:lvl>
    <w:lvl w:ilvl="6" w:tplc="D832A632" w:tentative="1">
      <w:start w:val="1"/>
      <w:numFmt w:val="decimal"/>
      <w:lvlText w:val="%7."/>
      <w:lvlJc w:val="left"/>
      <w:pPr>
        <w:ind w:left="5040" w:hanging="360"/>
      </w:pPr>
    </w:lvl>
    <w:lvl w:ilvl="7" w:tplc="4244827E" w:tentative="1">
      <w:start w:val="1"/>
      <w:numFmt w:val="lowerLetter"/>
      <w:lvlText w:val="%8."/>
      <w:lvlJc w:val="left"/>
      <w:pPr>
        <w:ind w:left="5760" w:hanging="360"/>
      </w:pPr>
    </w:lvl>
    <w:lvl w:ilvl="8" w:tplc="C50CEC1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FE2BB6"/>
    <w:multiLevelType w:val="hybridMultilevel"/>
    <w:tmpl w:val="84E8568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9C7EA8"/>
    <w:multiLevelType w:val="hybridMultilevel"/>
    <w:tmpl w:val="AAFE63C0"/>
    <w:lvl w:ilvl="0" w:tplc="C7F6CD62">
      <w:numFmt w:val="bullet"/>
      <w:lvlText w:val="-"/>
      <w:lvlJc w:val="left"/>
      <w:pPr>
        <w:ind w:left="3195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32">
    <w:nsid w:val="798F30D8"/>
    <w:multiLevelType w:val="multilevel"/>
    <w:tmpl w:val="2A9E5564"/>
    <w:name w:val="ParaNumbering"/>
    <w:styleLink w:val="ParaNumbering"/>
    <w:lvl w:ilvl="0">
      <w:start w:val="1"/>
      <w:numFmt w:val="decimal"/>
      <w:lvlRestart w:val="0"/>
      <w:pStyle w:val="EYHeading1"/>
      <w:lvlText w:val=""/>
      <w:lvlJc w:val="left"/>
      <w:pPr>
        <w:tabs>
          <w:tab w:val="num" w:pos="0"/>
        </w:tabs>
        <w:ind w:left="0" w:firstLine="0"/>
      </w:pPr>
      <w:rPr>
        <w:b/>
        <w:color w:val="7F7E82"/>
        <w:sz w:val="40"/>
      </w:rPr>
    </w:lvl>
    <w:lvl w:ilvl="1">
      <w:start w:val="1"/>
      <w:numFmt w:val="decimal"/>
      <w:pStyle w:val="EYbodytext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000000"/>
        <w:sz w:val="28"/>
      </w:rPr>
    </w:lvl>
    <w:lvl w:ilvl="2">
      <w:start w:val="1"/>
      <w:numFmt w:val="decimal"/>
      <w:lvlRestart w:val="1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000000"/>
        <w:sz w:val="24"/>
      </w:rPr>
    </w:lvl>
    <w:lvl w:ilvl="3">
      <w:start w:val="1"/>
      <w:numFmt w:val="decimal"/>
      <w:lvlRestart w:val="1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color w:val="000000"/>
        <w:sz w:val="20"/>
      </w:rPr>
    </w:lvl>
    <w:lvl w:ilvl="4">
      <w:start w:val="1"/>
      <w:numFmt w:val="decimal"/>
      <w:lvlRestart w:val="1"/>
      <w:pStyle w:val="EYBodytextwithparaspace"/>
      <w:lvlText w:val="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000000"/>
        <w:sz w:val="20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3">
    <w:nsid w:val="79951C5C"/>
    <w:multiLevelType w:val="hybridMultilevel"/>
    <w:tmpl w:val="7780D192"/>
    <w:lvl w:ilvl="0" w:tplc="1792ADEC">
      <w:start w:val="1"/>
      <w:numFmt w:val="upperRoman"/>
      <w:pStyle w:val="NumberedHeading2"/>
      <w:lvlText w:val="%1."/>
      <w:lvlJc w:val="right"/>
      <w:pPr>
        <w:ind w:left="2520" w:hanging="360"/>
      </w:pPr>
    </w:lvl>
    <w:lvl w:ilvl="1" w:tplc="04090003">
      <w:start w:val="1"/>
      <w:numFmt w:val="lowerLetter"/>
      <w:lvlText w:val="%2."/>
      <w:lvlJc w:val="left"/>
      <w:pPr>
        <w:ind w:left="3240" w:hanging="360"/>
      </w:pPr>
    </w:lvl>
    <w:lvl w:ilvl="2" w:tplc="04090005" w:tentative="1">
      <w:start w:val="1"/>
      <w:numFmt w:val="lowerRoman"/>
      <w:lvlText w:val="%3."/>
      <w:lvlJc w:val="right"/>
      <w:pPr>
        <w:ind w:left="3960" w:hanging="180"/>
      </w:pPr>
    </w:lvl>
    <w:lvl w:ilvl="3" w:tplc="04090001" w:tentative="1">
      <w:start w:val="1"/>
      <w:numFmt w:val="decimal"/>
      <w:lvlText w:val="%4."/>
      <w:lvlJc w:val="left"/>
      <w:pPr>
        <w:ind w:left="4680" w:hanging="360"/>
      </w:pPr>
    </w:lvl>
    <w:lvl w:ilvl="4" w:tplc="04090003" w:tentative="1">
      <w:start w:val="1"/>
      <w:numFmt w:val="lowerLetter"/>
      <w:lvlText w:val="%5."/>
      <w:lvlJc w:val="left"/>
      <w:pPr>
        <w:ind w:left="5400" w:hanging="360"/>
      </w:pPr>
    </w:lvl>
    <w:lvl w:ilvl="5" w:tplc="04090005" w:tentative="1">
      <w:start w:val="1"/>
      <w:numFmt w:val="lowerRoman"/>
      <w:lvlText w:val="%6."/>
      <w:lvlJc w:val="right"/>
      <w:pPr>
        <w:ind w:left="6120" w:hanging="180"/>
      </w:pPr>
    </w:lvl>
    <w:lvl w:ilvl="6" w:tplc="04090001" w:tentative="1">
      <w:start w:val="1"/>
      <w:numFmt w:val="decimal"/>
      <w:lvlText w:val="%7."/>
      <w:lvlJc w:val="left"/>
      <w:pPr>
        <w:ind w:left="6840" w:hanging="360"/>
      </w:pPr>
    </w:lvl>
    <w:lvl w:ilvl="7" w:tplc="04090003" w:tentative="1">
      <w:start w:val="1"/>
      <w:numFmt w:val="lowerLetter"/>
      <w:lvlText w:val="%8."/>
      <w:lvlJc w:val="left"/>
      <w:pPr>
        <w:ind w:left="7560" w:hanging="360"/>
      </w:pPr>
    </w:lvl>
    <w:lvl w:ilvl="8" w:tplc="04090005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>
    <w:nsid w:val="7EF3739C"/>
    <w:multiLevelType w:val="hybridMultilevel"/>
    <w:tmpl w:val="E27EA942"/>
    <w:lvl w:ilvl="0" w:tplc="E4981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DAC1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244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A06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785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C4F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468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9C4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3A3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33"/>
  </w:num>
  <w:num w:numId="3">
    <w:abstractNumId w:val="29"/>
  </w:num>
  <w:num w:numId="4">
    <w:abstractNumId w:val="20"/>
  </w:num>
  <w:num w:numId="5">
    <w:abstractNumId w:val="11"/>
  </w:num>
  <w:num w:numId="6">
    <w:abstractNumId w:val="32"/>
  </w:num>
  <w:num w:numId="7">
    <w:abstractNumId w:val="8"/>
  </w:num>
  <w:num w:numId="8">
    <w:abstractNumId w:val="13"/>
  </w:num>
  <w:num w:numId="9">
    <w:abstractNumId w:val="28"/>
  </w:num>
  <w:num w:numId="10">
    <w:abstractNumId w:val="14"/>
  </w:num>
  <w:num w:numId="11">
    <w:abstractNumId w:val="19"/>
  </w:num>
  <w:num w:numId="12">
    <w:abstractNumId w:val="5"/>
  </w:num>
  <w:num w:numId="13">
    <w:abstractNumId w:val="25"/>
  </w:num>
  <w:num w:numId="14">
    <w:abstractNumId w:val="10"/>
  </w:num>
  <w:num w:numId="15">
    <w:abstractNumId w:val="6"/>
  </w:num>
  <w:num w:numId="16">
    <w:abstractNumId w:val="24"/>
  </w:num>
  <w:num w:numId="17">
    <w:abstractNumId w:val="31"/>
  </w:num>
  <w:num w:numId="18">
    <w:abstractNumId w:val="26"/>
  </w:num>
  <w:num w:numId="19">
    <w:abstractNumId w:val="7"/>
  </w:num>
  <w:num w:numId="20">
    <w:abstractNumId w:val="12"/>
  </w:num>
  <w:num w:numId="21">
    <w:abstractNumId w:val="21"/>
  </w:num>
  <w:num w:numId="22">
    <w:abstractNumId w:val="16"/>
  </w:num>
  <w:num w:numId="23">
    <w:abstractNumId w:val="34"/>
  </w:num>
  <w:num w:numId="24">
    <w:abstractNumId w:val="23"/>
  </w:num>
  <w:num w:numId="25">
    <w:abstractNumId w:val="9"/>
  </w:num>
  <w:num w:numId="26">
    <w:abstractNumId w:val="22"/>
  </w:num>
  <w:num w:numId="27">
    <w:abstractNumId w:val="15"/>
  </w:num>
  <w:num w:numId="28">
    <w:abstractNumId w:val="27"/>
  </w:num>
  <w:num w:numId="29">
    <w:abstractNumId w:val="18"/>
  </w:num>
  <w:num w:numId="30">
    <w:abstractNumId w:val="30"/>
  </w:num>
  <w:num w:numId="31">
    <w:abstractNumId w:val="0"/>
  </w:num>
  <w:num w:numId="32">
    <w:abstractNumId w:val="17"/>
  </w:num>
  <w:num w:numId="33">
    <w:abstractNumId w:val="1"/>
  </w:num>
  <w:num w:numId="34">
    <w:abstractNumId w:val="4"/>
  </w:num>
  <w:num w:numId="35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95"/>
    <w:rsid w:val="00000CD7"/>
    <w:rsid w:val="000041EA"/>
    <w:rsid w:val="00004421"/>
    <w:rsid w:val="00005691"/>
    <w:rsid w:val="00007337"/>
    <w:rsid w:val="0000764D"/>
    <w:rsid w:val="00010F47"/>
    <w:rsid w:val="00011364"/>
    <w:rsid w:val="00012606"/>
    <w:rsid w:val="00012661"/>
    <w:rsid w:val="000160C9"/>
    <w:rsid w:val="00022188"/>
    <w:rsid w:val="00023A62"/>
    <w:rsid w:val="00023EF9"/>
    <w:rsid w:val="00024E42"/>
    <w:rsid w:val="00026057"/>
    <w:rsid w:val="00027204"/>
    <w:rsid w:val="00031021"/>
    <w:rsid w:val="00031B70"/>
    <w:rsid w:val="000324F0"/>
    <w:rsid w:val="00032CFC"/>
    <w:rsid w:val="000336A9"/>
    <w:rsid w:val="00033C95"/>
    <w:rsid w:val="00034DF1"/>
    <w:rsid w:val="0003595E"/>
    <w:rsid w:val="00035B6F"/>
    <w:rsid w:val="00036FE9"/>
    <w:rsid w:val="00037A27"/>
    <w:rsid w:val="00041632"/>
    <w:rsid w:val="00042E0C"/>
    <w:rsid w:val="00047AB8"/>
    <w:rsid w:val="000510D0"/>
    <w:rsid w:val="00051D88"/>
    <w:rsid w:val="00054E5B"/>
    <w:rsid w:val="000617E6"/>
    <w:rsid w:val="00062430"/>
    <w:rsid w:val="00062ADF"/>
    <w:rsid w:val="000647B9"/>
    <w:rsid w:val="000648CD"/>
    <w:rsid w:val="0006739A"/>
    <w:rsid w:val="00071929"/>
    <w:rsid w:val="000722DB"/>
    <w:rsid w:val="0007302E"/>
    <w:rsid w:val="000755DE"/>
    <w:rsid w:val="00081941"/>
    <w:rsid w:val="00086C81"/>
    <w:rsid w:val="00087176"/>
    <w:rsid w:val="00087C8C"/>
    <w:rsid w:val="000906F8"/>
    <w:rsid w:val="00090EF8"/>
    <w:rsid w:val="000916CB"/>
    <w:rsid w:val="00091C73"/>
    <w:rsid w:val="00091CD0"/>
    <w:rsid w:val="00094291"/>
    <w:rsid w:val="00094375"/>
    <w:rsid w:val="0009458C"/>
    <w:rsid w:val="00094614"/>
    <w:rsid w:val="00094C97"/>
    <w:rsid w:val="00094DA5"/>
    <w:rsid w:val="00096FAB"/>
    <w:rsid w:val="000979A3"/>
    <w:rsid w:val="000A02C1"/>
    <w:rsid w:val="000A1095"/>
    <w:rsid w:val="000A1EEE"/>
    <w:rsid w:val="000A395D"/>
    <w:rsid w:val="000A3DD2"/>
    <w:rsid w:val="000A40E6"/>
    <w:rsid w:val="000A425B"/>
    <w:rsid w:val="000A4BE7"/>
    <w:rsid w:val="000A594C"/>
    <w:rsid w:val="000A7BAF"/>
    <w:rsid w:val="000A7F56"/>
    <w:rsid w:val="000B244C"/>
    <w:rsid w:val="000B2BDB"/>
    <w:rsid w:val="000B4A5C"/>
    <w:rsid w:val="000B57DC"/>
    <w:rsid w:val="000B5925"/>
    <w:rsid w:val="000B6489"/>
    <w:rsid w:val="000B6928"/>
    <w:rsid w:val="000B7294"/>
    <w:rsid w:val="000C09AF"/>
    <w:rsid w:val="000C0FA1"/>
    <w:rsid w:val="000C3995"/>
    <w:rsid w:val="000C43CD"/>
    <w:rsid w:val="000C5900"/>
    <w:rsid w:val="000C66A3"/>
    <w:rsid w:val="000C6C78"/>
    <w:rsid w:val="000D119B"/>
    <w:rsid w:val="000D27E0"/>
    <w:rsid w:val="000D4628"/>
    <w:rsid w:val="000D6E2D"/>
    <w:rsid w:val="000D7DEA"/>
    <w:rsid w:val="000E0380"/>
    <w:rsid w:val="000E03A0"/>
    <w:rsid w:val="000E0B75"/>
    <w:rsid w:val="000E20B1"/>
    <w:rsid w:val="000E6361"/>
    <w:rsid w:val="000F01C0"/>
    <w:rsid w:val="000F19AD"/>
    <w:rsid w:val="000F2713"/>
    <w:rsid w:val="000F435A"/>
    <w:rsid w:val="000F56BB"/>
    <w:rsid w:val="000F66F5"/>
    <w:rsid w:val="000F6DD2"/>
    <w:rsid w:val="00100C9E"/>
    <w:rsid w:val="001016DE"/>
    <w:rsid w:val="001020FE"/>
    <w:rsid w:val="00102359"/>
    <w:rsid w:val="00102DF9"/>
    <w:rsid w:val="0010439F"/>
    <w:rsid w:val="00104523"/>
    <w:rsid w:val="00105B83"/>
    <w:rsid w:val="00106BEE"/>
    <w:rsid w:val="00115C17"/>
    <w:rsid w:val="00116686"/>
    <w:rsid w:val="00120449"/>
    <w:rsid w:val="00121EAE"/>
    <w:rsid w:val="001235FF"/>
    <w:rsid w:val="001247D0"/>
    <w:rsid w:val="0012633E"/>
    <w:rsid w:val="001317A1"/>
    <w:rsid w:val="00132245"/>
    <w:rsid w:val="0013227B"/>
    <w:rsid w:val="001330C3"/>
    <w:rsid w:val="001336B9"/>
    <w:rsid w:val="0013449D"/>
    <w:rsid w:val="001357A8"/>
    <w:rsid w:val="001357FA"/>
    <w:rsid w:val="00135FBC"/>
    <w:rsid w:val="001362F2"/>
    <w:rsid w:val="0013666E"/>
    <w:rsid w:val="001410E7"/>
    <w:rsid w:val="0014355F"/>
    <w:rsid w:val="00146233"/>
    <w:rsid w:val="00150247"/>
    <w:rsid w:val="00151516"/>
    <w:rsid w:val="00152478"/>
    <w:rsid w:val="00152F91"/>
    <w:rsid w:val="00157099"/>
    <w:rsid w:val="00160A6F"/>
    <w:rsid w:val="00162F29"/>
    <w:rsid w:val="00164ABE"/>
    <w:rsid w:val="00166205"/>
    <w:rsid w:val="00170168"/>
    <w:rsid w:val="00170940"/>
    <w:rsid w:val="00171438"/>
    <w:rsid w:val="00172E62"/>
    <w:rsid w:val="001747AD"/>
    <w:rsid w:val="00175E49"/>
    <w:rsid w:val="00175F0F"/>
    <w:rsid w:val="00176E37"/>
    <w:rsid w:val="00180B9B"/>
    <w:rsid w:val="001813D2"/>
    <w:rsid w:val="001838AF"/>
    <w:rsid w:val="0018431E"/>
    <w:rsid w:val="00184540"/>
    <w:rsid w:val="00184CA8"/>
    <w:rsid w:val="00185986"/>
    <w:rsid w:val="00190055"/>
    <w:rsid w:val="00190201"/>
    <w:rsid w:val="00191CED"/>
    <w:rsid w:val="00193F71"/>
    <w:rsid w:val="0019447C"/>
    <w:rsid w:val="0019523C"/>
    <w:rsid w:val="00196886"/>
    <w:rsid w:val="001A01A4"/>
    <w:rsid w:val="001A076D"/>
    <w:rsid w:val="001A2317"/>
    <w:rsid w:val="001A29B2"/>
    <w:rsid w:val="001A3EBE"/>
    <w:rsid w:val="001A422C"/>
    <w:rsid w:val="001A45D6"/>
    <w:rsid w:val="001A4EAD"/>
    <w:rsid w:val="001A5EE0"/>
    <w:rsid w:val="001A6833"/>
    <w:rsid w:val="001A6A30"/>
    <w:rsid w:val="001B0874"/>
    <w:rsid w:val="001B087A"/>
    <w:rsid w:val="001B0C9A"/>
    <w:rsid w:val="001B13A8"/>
    <w:rsid w:val="001B34ED"/>
    <w:rsid w:val="001B6A9F"/>
    <w:rsid w:val="001B6EAF"/>
    <w:rsid w:val="001C3D27"/>
    <w:rsid w:val="001C47C6"/>
    <w:rsid w:val="001C4CDF"/>
    <w:rsid w:val="001C7364"/>
    <w:rsid w:val="001D3407"/>
    <w:rsid w:val="001D4146"/>
    <w:rsid w:val="001D7DE0"/>
    <w:rsid w:val="001E0AF0"/>
    <w:rsid w:val="001E1874"/>
    <w:rsid w:val="001E3DDA"/>
    <w:rsid w:val="001F1861"/>
    <w:rsid w:val="001F2978"/>
    <w:rsid w:val="001F3132"/>
    <w:rsid w:val="001F41CF"/>
    <w:rsid w:val="001F4A0D"/>
    <w:rsid w:val="00200826"/>
    <w:rsid w:val="00200FB2"/>
    <w:rsid w:val="00203544"/>
    <w:rsid w:val="002040F1"/>
    <w:rsid w:val="002049EE"/>
    <w:rsid w:val="002051E5"/>
    <w:rsid w:val="00205AF3"/>
    <w:rsid w:val="00210B38"/>
    <w:rsid w:val="00213734"/>
    <w:rsid w:val="0021374C"/>
    <w:rsid w:val="00214FA5"/>
    <w:rsid w:val="00215D44"/>
    <w:rsid w:val="0021646D"/>
    <w:rsid w:val="00216B87"/>
    <w:rsid w:val="00216FA6"/>
    <w:rsid w:val="00220102"/>
    <w:rsid w:val="002204D5"/>
    <w:rsid w:val="00221B6A"/>
    <w:rsid w:val="0022277E"/>
    <w:rsid w:val="00222D1F"/>
    <w:rsid w:val="00224DD6"/>
    <w:rsid w:val="00225A9F"/>
    <w:rsid w:val="00227B6C"/>
    <w:rsid w:val="0023023F"/>
    <w:rsid w:val="00231DF5"/>
    <w:rsid w:val="00232B9C"/>
    <w:rsid w:val="00235D41"/>
    <w:rsid w:val="00237F06"/>
    <w:rsid w:val="00240A6B"/>
    <w:rsid w:val="00245E33"/>
    <w:rsid w:val="00245E8A"/>
    <w:rsid w:val="0024763C"/>
    <w:rsid w:val="0025203C"/>
    <w:rsid w:val="002543F4"/>
    <w:rsid w:val="002546DC"/>
    <w:rsid w:val="00254D62"/>
    <w:rsid w:val="0025545B"/>
    <w:rsid w:val="002555C8"/>
    <w:rsid w:val="002561D9"/>
    <w:rsid w:val="0026173D"/>
    <w:rsid w:val="00262550"/>
    <w:rsid w:val="00262632"/>
    <w:rsid w:val="00263035"/>
    <w:rsid w:val="00263B88"/>
    <w:rsid w:val="00264255"/>
    <w:rsid w:val="00265C3C"/>
    <w:rsid w:val="00271C7D"/>
    <w:rsid w:val="00271EBC"/>
    <w:rsid w:val="002733BD"/>
    <w:rsid w:val="00276945"/>
    <w:rsid w:val="00276F0A"/>
    <w:rsid w:val="0027706B"/>
    <w:rsid w:val="00280B2A"/>
    <w:rsid w:val="00280B31"/>
    <w:rsid w:val="00281C10"/>
    <w:rsid w:val="002829E3"/>
    <w:rsid w:val="002847CD"/>
    <w:rsid w:val="0029153D"/>
    <w:rsid w:val="002942EE"/>
    <w:rsid w:val="002944E2"/>
    <w:rsid w:val="00295D51"/>
    <w:rsid w:val="002964EB"/>
    <w:rsid w:val="002A0544"/>
    <w:rsid w:val="002A0ED3"/>
    <w:rsid w:val="002A1FA1"/>
    <w:rsid w:val="002A2A5B"/>
    <w:rsid w:val="002A2D70"/>
    <w:rsid w:val="002A3251"/>
    <w:rsid w:val="002A428B"/>
    <w:rsid w:val="002A4D2E"/>
    <w:rsid w:val="002A5884"/>
    <w:rsid w:val="002A5BA7"/>
    <w:rsid w:val="002A763A"/>
    <w:rsid w:val="002A7F7C"/>
    <w:rsid w:val="002B2802"/>
    <w:rsid w:val="002B4BE9"/>
    <w:rsid w:val="002B70B6"/>
    <w:rsid w:val="002C0112"/>
    <w:rsid w:val="002C0126"/>
    <w:rsid w:val="002C244F"/>
    <w:rsid w:val="002C398E"/>
    <w:rsid w:val="002D0F8A"/>
    <w:rsid w:val="002D1242"/>
    <w:rsid w:val="002D24DC"/>
    <w:rsid w:val="002D5C32"/>
    <w:rsid w:val="002D6320"/>
    <w:rsid w:val="002D6549"/>
    <w:rsid w:val="002D791D"/>
    <w:rsid w:val="002E008B"/>
    <w:rsid w:val="002E17F8"/>
    <w:rsid w:val="002E2222"/>
    <w:rsid w:val="002E3D31"/>
    <w:rsid w:val="002E664F"/>
    <w:rsid w:val="002E6BC2"/>
    <w:rsid w:val="002E76F2"/>
    <w:rsid w:val="002E7784"/>
    <w:rsid w:val="002E7A3F"/>
    <w:rsid w:val="002E7C7E"/>
    <w:rsid w:val="002F09CE"/>
    <w:rsid w:val="002F13B3"/>
    <w:rsid w:val="002F1A8F"/>
    <w:rsid w:val="002F2CCF"/>
    <w:rsid w:val="002F323F"/>
    <w:rsid w:val="002F39BD"/>
    <w:rsid w:val="002F453D"/>
    <w:rsid w:val="002F55DC"/>
    <w:rsid w:val="0030285A"/>
    <w:rsid w:val="00302E72"/>
    <w:rsid w:val="0030513E"/>
    <w:rsid w:val="00305A16"/>
    <w:rsid w:val="00305E38"/>
    <w:rsid w:val="00313F91"/>
    <w:rsid w:val="00316193"/>
    <w:rsid w:val="00316326"/>
    <w:rsid w:val="00317608"/>
    <w:rsid w:val="0032575B"/>
    <w:rsid w:val="0032597F"/>
    <w:rsid w:val="00325AAD"/>
    <w:rsid w:val="003262B3"/>
    <w:rsid w:val="00326A12"/>
    <w:rsid w:val="00326FA5"/>
    <w:rsid w:val="00326FD2"/>
    <w:rsid w:val="00330043"/>
    <w:rsid w:val="003328C4"/>
    <w:rsid w:val="00333D35"/>
    <w:rsid w:val="00334DEF"/>
    <w:rsid w:val="0033600C"/>
    <w:rsid w:val="00337C6C"/>
    <w:rsid w:val="003416E8"/>
    <w:rsid w:val="00342276"/>
    <w:rsid w:val="003427D5"/>
    <w:rsid w:val="00342A9A"/>
    <w:rsid w:val="003439F2"/>
    <w:rsid w:val="00344C0A"/>
    <w:rsid w:val="00345A4D"/>
    <w:rsid w:val="00345A83"/>
    <w:rsid w:val="00345D9C"/>
    <w:rsid w:val="00346750"/>
    <w:rsid w:val="0034748A"/>
    <w:rsid w:val="003476E1"/>
    <w:rsid w:val="00350651"/>
    <w:rsid w:val="003525C0"/>
    <w:rsid w:val="00353359"/>
    <w:rsid w:val="0035360B"/>
    <w:rsid w:val="003544D4"/>
    <w:rsid w:val="00356056"/>
    <w:rsid w:val="003561DF"/>
    <w:rsid w:val="00356C7C"/>
    <w:rsid w:val="0036076A"/>
    <w:rsid w:val="00362A04"/>
    <w:rsid w:val="00362A16"/>
    <w:rsid w:val="00362F28"/>
    <w:rsid w:val="00363D81"/>
    <w:rsid w:val="00367FC8"/>
    <w:rsid w:val="003718DA"/>
    <w:rsid w:val="00372F31"/>
    <w:rsid w:val="00374CAF"/>
    <w:rsid w:val="00380B58"/>
    <w:rsid w:val="00380BAB"/>
    <w:rsid w:val="0038282B"/>
    <w:rsid w:val="00383542"/>
    <w:rsid w:val="00384DDE"/>
    <w:rsid w:val="00385CA0"/>
    <w:rsid w:val="00386928"/>
    <w:rsid w:val="00391FBB"/>
    <w:rsid w:val="00392751"/>
    <w:rsid w:val="00392DC5"/>
    <w:rsid w:val="0039690B"/>
    <w:rsid w:val="003A0AB9"/>
    <w:rsid w:val="003A5AB4"/>
    <w:rsid w:val="003A67D2"/>
    <w:rsid w:val="003B0688"/>
    <w:rsid w:val="003B1DEF"/>
    <w:rsid w:val="003B1EE2"/>
    <w:rsid w:val="003B25FB"/>
    <w:rsid w:val="003B4A24"/>
    <w:rsid w:val="003B5CCF"/>
    <w:rsid w:val="003C1685"/>
    <w:rsid w:val="003C21BC"/>
    <w:rsid w:val="003C247B"/>
    <w:rsid w:val="003C30C3"/>
    <w:rsid w:val="003C39C6"/>
    <w:rsid w:val="003C5110"/>
    <w:rsid w:val="003C5E07"/>
    <w:rsid w:val="003C7E0A"/>
    <w:rsid w:val="003C7F34"/>
    <w:rsid w:val="003D1D70"/>
    <w:rsid w:val="003D32C7"/>
    <w:rsid w:val="003D4259"/>
    <w:rsid w:val="003E2C88"/>
    <w:rsid w:val="003E30BE"/>
    <w:rsid w:val="003E63C7"/>
    <w:rsid w:val="003F005D"/>
    <w:rsid w:val="003F1E49"/>
    <w:rsid w:val="003F2C67"/>
    <w:rsid w:val="003F381A"/>
    <w:rsid w:val="003F402F"/>
    <w:rsid w:val="003F4A08"/>
    <w:rsid w:val="004006DF"/>
    <w:rsid w:val="00400BCA"/>
    <w:rsid w:val="004015DC"/>
    <w:rsid w:val="00401B6D"/>
    <w:rsid w:val="00402085"/>
    <w:rsid w:val="00402679"/>
    <w:rsid w:val="00402C82"/>
    <w:rsid w:val="0040554D"/>
    <w:rsid w:val="004055DA"/>
    <w:rsid w:val="00405803"/>
    <w:rsid w:val="0040640E"/>
    <w:rsid w:val="00413109"/>
    <w:rsid w:val="00415DB9"/>
    <w:rsid w:val="00417839"/>
    <w:rsid w:val="004217B7"/>
    <w:rsid w:val="00422A47"/>
    <w:rsid w:val="00423DE9"/>
    <w:rsid w:val="0042609D"/>
    <w:rsid w:val="00426E8C"/>
    <w:rsid w:val="004304F6"/>
    <w:rsid w:val="00430A3F"/>
    <w:rsid w:val="00431B3C"/>
    <w:rsid w:val="00434BC5"/>
    <w:rsid w:val="004358B8"/>
    <w:rsid w:val="00435F31"/>
    <w:rsid w:val="004425CE"/>
    <w:rsid w:val="00444202"/>
    <w:rsid w:val="00444690"/>
    <w:rsid w:val="0044556B"/>
    <w:rsid w:val="004473C3"/>
    <w:rsid w:val="0045108B"/>
    <w:rsid w:val="004552A0"/>
    <w:rsid w:val="00455B75"/>
    <w:rsid w:val="00457E4E"/>
    <w:rsid w:val="004605B7"/>
    <w:rsid w:val="00464FE2"/>
    <w:rsid w:val="0046663F"/>
    <w:rsid w:val="00467F01"/>
    <w:rsid w:val="00471129"/>
    <w:rsid w:val="00471556"/>
    <w:rsid w:val="00472204"/>
    <w:rsid w:val="00472A87"/>
    <w:rsid w:val="00472BBC"/>
    <w:rsid w:val="00474095"/>
    <w:rsid w:val="00475085"/>
    <w:rsid w:val="00477BBD"/>
    <w:rsid w:val="0048100B"/>
    <w:rsid w:val="00481C58"/>
    <w:rsid w:val="00483243"/>
    <w:rsid w:val="004833D2"/>
    <w:rsid w:val="00483A35"/>
    <w:rsid w:val="004864A1"/>
    <w:rsid w:val="00486EC9"/>
    <w:rsid w:val="0048790F"/>
    <w:rsid w:val="00487D41"/>
    <w:rsid w:val="00487D8E"/>
    <w:rsid w:val="00491CD7"/>
    <w:rsid w:val="00492574"/>
    <w:rsid w:val="00492CC2"/>
    <w:rsid w:val="0049366C"/>
    <w:rsid w:val="00493B5B"/>
    <w:rsid w:val="00493E40"/>
    <w:rsid w:val="00494373"/>
    <w:rsid w:val="00495117"/>
    <w:rsid w:val="004951B6"/>
    <w:rsid w:val="004A0FA4"/>
    <w:rsid w:val="004A0FE4"/>
    <w:rsid w:val="004A2A7F"/>
    <w:rsid w:val="004A6F64"/>
    <w:rsid w:val="004A7D89"/>
    <w:rsid w:val="004B0C83"/>
    <w:rsid w:val="004B32D9"/>
    <w:rsid w:val="004B42A8"/>
    <w:rsid w:val="004B496C"/>
    <w:rsid w:val="004B58CB"/>
    <w:rsid w:val="004C2B4F"/>
    <w:rsid w:val="004C3216"/>
    <w:rsid w:val="004C3BD9"/>
    <w:rsid w:val="004C5B1B"/>
    <w:rsid w:val="004C5C8B"/>
    <w:rsid w:val="004C5CD7"/>
    <w:rsid w:val="004C60ED"/>
    <w:rsid w:val="004C6C2F"/>
    <w:rsid w:val="004C7426"/>
    <w:rsid w:val="004C7A66"/>
    <w:rsid w:val="004D0C7F"/>
    <w:rsid w:val="004D0D83"/>
    <w:rsid w:val="004D17BF"/>
    <w:rsid w:val="004D4255"/>
    <w:rsid w:val="004D4599"/>
    <w:rsid w:val="004D55CB"/>
    <w:rsid w:val="004D679F"/>
    <w:rsid w:val="004D7F9C"/>
    <w:rsid w:val="004D7FF0"/>
    <w:rsid w:val="004E0F69"/>
    <w:rsid w:val="004E1022"/>
    <w:rsid w:val="004E1DEB"/>
    <w:rsid w:val="004E20EE"/>
    <w:rsid w:val="004E2A9A"/>
    <w:rsid w:val="004E3429"/>
    <w:rsid w:val="004E3818"/>
    <w:rsid w:val="004F2A63"/>
    <w:rsid w:val="004F2C46"/>
    <w:rsid w:val="004F572C"/>
    <w:rsid w:val="004F5A13"/>
    <w:rsid w:val="004F72B6"/>
    <w:rsid w:val="004F7D77"/>
    <w:rsid w:val="00502F0C"/>
    <w:rsid w:val="0050440C"/>
    <w:rsid w:val="00504E0A"/>
    <w:rsid w:val="00505113"/>
    <w:rsid w:val="00505B92"/>
    <w:rsid w:val="00506B76"/>
    <w:rsid w:val="00510590"/>
    <w:rsid w:val="00515189"/>
    <w:rsid w:val="00520FC0"/>
    <w:rsid w:val="005215F1"/>
    <w:rsid w:val="005219AF"/>
    <w:rsid w:val="00521F79"/>
    <w:rsid w:val="00526B0F"/>
    <w:rsid w:val="00526EE9"/>
    <w:rsid w:val="00530C0C"/>
    <w:rsid w:val="00530F1C"/>
    <w:rsid w:val="00532462"/>
    <w:rsid w:val="005324B4"/>
    <w:rsid w:val="005325E4"/>
    <w:rsid w:val="0053371D"/>
    <w:rsid w:val="0053662D"/>
    <w:rsid w:val="005403F1"/>
    <w:rsid w:val="005404FD"/>
    <w:rsid w:val="00541D82"/>
    <w:rsid w:val="005431E3"/>
    <w:rsid w:val="005435DE"/>
    <w:rsid w:val="005457EB"/>
    <w:rsid w:val="00547054"/>
    <w:rsid w:val="00552C4D"/>
    <w:rsid w:val="00554D1C"/>
    <w:rsid w:val="00555279"/>
    <w:rsid w:val="00560B26"/>
    <w:rsid w:val="005631BA"/>
    <w:rsid w:val="00565BAF"/>
    <w:rsid w:val="00566936"/>
    <w:rsid w:val="005718E5"/>
    <w:rsid w:val="0057195A"/>
    <w:rsid w:val="0057359F"/>
    <w:rsid w:val="0057406D"/>
    <w:rsid w:val="005751F7"/>
    <w:rsid w:val="00576CC5"/>
    <w:rsid w:val="0058147B"/>
    <w:rsid w:val="00581E23"/>
    <w:rsid w:val="0058291A"/>
    <w:rsid w:val="00582FEB"/>
    <w:rsid w:val="00583A0B"/>
    <w:rsid w:val="00583EF8"/>
    <w:rsid w:val="00583F73"/>
    <w:rsid w:val="005843FF"/>
    <w:rsid w:val="00584566"/>
    <w:rsid w:val="0059025A"/>
    <w:rsid w:val="005902D8"/>
    <w:rsid w:val="00591295"/>
    <w:rsid w:val="00592E42"/>
    <w:rsid w:val="00593949"/>
    <w:rsid w:val="0059478C"/>
    <w:rsid w:val="0059577D"/>
    <w:rsid w:val="00595DF9"/>
    <w:rsid w:val="00596B75"/>
    <w:rsid w:val="00596C82"/>
    <w:rsid w:val="005A55F9"/>
    <w:rsid w:val="005A6503"/>
    <w:rsid w:val="005A6A7A"/>
    <w:rsid w:val="005A7C9F"/>
    <w:rsid w:val="005B0A73"/>
    <w:rsid w:val="005B158A"/>
    <w:rsid w:val="005B1B40"/>
    <w:rsid w:val="005B414D"/>
    <w:rsid w:val="005B68EA"/>
    <w:rsid w:val="005C0102"/>
    <w:rsid w:val="005C09AE"/>
    <w:rsid w:val="005C0E44"/>
    <w:rsid w:val="005C2DB4"/>
    <w:rsid w:val="005C5253"/>
    <w:rsid w:val="005C5D7C"/>
    <w:rsid w:val="005C5F9D"/>
    <w:rsid w:val="005C65AB"/>
    <w:rsid w:val="005D3365"/>
    <w:rsid w:val="005D40D7"/>
    <w:rsid w:val="005D5471"/>
    <w:rsid w:val="005E0418"/>
    <w:rsid w:val="005E15CB"/>
    <w:rsid w:val="005E403C"/>
    <w:rsid w:val="005E46BD"/>
    <w:rsid w:val="005E4DBF"/>
    <w:rsid w:val="005E5B51"/>
    <w:rsid w:val="005E5E5A"/>
    <w:rsid w:val="005E62EE"/>
    <w:rsid w:val="005E7BE1"/>
    <w:rsid w:val="005F0353"/>
    <w:rsid w:val="005F0723"/>
    <w:rsid w:val="005F323A"/>
    <w:rsid w:val="005F4B13"/>
    <w:rsid w:val="005F5C3B"/>
    <w:rsid w:val="005F6853"/>
    <w:rsid w:val="005F6DE5"/>
    <w:rsid w:val="00600894"/>
    <w:rsid w:val="00600DDB"/>
    <w:rsid w:val="00601219"/>
    <w:rsid w:val="0060426C"/>
    <w:rsid w:val="00604C3C"/>
    <w:rsid w:val="00605C25"/>
    <w:rsid w:val="006103CF"/>
    <w:rsid w:val="0061152A"/>
    <w:rsid w:val="00612CEB"/>
    <w:rsid w:val="006145A1"/>
    <w:rsid w:val="00614EDA"/>
    <w:rsid w:val="00615A08"/>
    <w:rsid w:val="0061608B"/>
    <w:rsid w:val="0061781F"/>
    <w:rsid w:val="006212EE"/>
    <w:rsid w:val="00623046"/>
    <w:rsid w:val="006259FE"/>
    <w:rsid w:val="00626A09"/>
    <w:rsid w:val="00627174"/>
    <w:rsid w:val="00632140"/>
    <w:rsid w:val="0063494E"/>
    <w:rsid w:val="00634DD1"/>
    <w:rsid w:val="00635002"/>
    <w:rsid w:val="00636647"/>
    <w:rsid w:val="00636E74"/>
    <w:rsid w:val="00641672"/>
    <w:rsid w:val="00643473"/>
    <w:rsid w:val="006447A1"/>
    <w:rsid w:val="00652ADB"/>
    <w:rsid w:val="006544E6"/>
    <w:rsid w:val="00655211"/>
    <w:rsid w:val="006557AF"/>
    <w:rsid w:val="006603C7"/>
    <w:rsid w:val="00660ADC"/>
    <w:rsid w:val="00660EB7"/>
    <w:rsid w:val="00662107"/>
    <w:rsid w:val="006623BE"/>
    <w:rsid w:val="00662CAF"/>
    <w:rsid w:val="00663AC6"/>
    <w:rsid w:val="00663E2E"/>
    <w:rsid w:val="0066605C"/>
    <w:rsid w:val="00667424"/>
    <w:rsid w:val="00671C05"/>
    <w:rsid w:val="006815DB"/>
    <w:rsid w:val="00681685"/>
    <w:rsid w:val="00681AA8"/>
    <w:rsid w:val="00682E0C"/>
    <w:rsid w:val="00682E5F"/>
    <w:rsid w:val="00684F3F"/>
    <w:rsid w:val="00690D11"/>
    <w:rsid w:val="00691687"/>
    <w:rsid w:val="006916A3"/>
    <w:rsid w:val="00692540"/>
    <w:rsid w:val="0069480B"/>
    <w:rsid w:val="006954D7"/>
    <w:rsid w:val="00696792"/>
    <w:rsid w:val="006976B4"/>
    <w:rsid w:val="006976E8"/>
    <w:rsid w:val="006977A2"/>
    <w:rsid w:val="00697FCF"/>
    <w:rsid w:val="006A28BE"/>
    <w:rsid w:val="006A453A"/>
    <w:rsid w:val="006A4D9E"/>
    <w:rsid w:val="006A52C8"/>
    <w:rsid w:val="006A6071"/>
    <w:rsid w:val="006A73AC"/>
    <w:rsid w:val="006B5158"/>
    <w:rsid w:val="006B6AFC"/>
    <w:rsid w:val="006B7A6B"/>
    <w:rsid w:val="006B7B04"/>
    <w:rsid w:val="006C2A4B"/>
    <w:rsid w:val="006C50DE"/>
    <w:rsid w:val="006C5A6B"/>
    <w:rsid w:val="006D06D0"/>
    <w:rsid w:val="006D23D1"/>
    <w:rsid w:val="006D3493"/>
    <w:rsid w:val="006D3AD1"/>
    <w:rsid w:val="006D4148"/>
    <w:rsid w:val="006D5DBE"/>
    <w:rsid w:val="006D74AB"/>
    <w:rsid w:val="006E02B0"/>
    <w:rsid w:val="006E09C9"/>
    <w:rsid w:val="006E2480"/>
    <w:rsid w:val="006E3C4F"/>
    <w:rsid w:val="006E711F"/>
    <w:rsid w:val="006E7443"/>
    <w:rsid w:val="006F1859"/>
    <w:rsid w:val="006F4D9C"/>
    <w:rsid w:val="006F55F5"/>
    <w:rsid w:val="006F6C5B"/>
    <w:rsid w:val="00701715"/>
    <w:rsid w:val="00702F97"/>
    <w:rsid w:val="00703104"/>
    <w:rsid w:val="00703961"/>
    <w:rsid w:val="00704D4B"/>
    <w:rsid w:val="00707A55"/>
    <w:rsid w:val="007108C1"/>
    <w:rsid w:val="00710C84"/>
    <w:rsid w:val="007129BC"/>
    <w:rsid w:val="00713294"/>
    <w:rsid w:val="00713E4C"/>
    <w:rsid w:val="007140E5"/>
    <w:rsid w:val="007149A1"/>
    <w:rsid w:val="00714F53"/>
    <w:rsid w:val="007156B6"/>
    <w:rsid w:val="007215DC"/>
    <w:rsid w:val="0072261A"/>
    <w:rsid w:val="00724D27"/>
    <w:rsid w:val="007260C7"/>
    <w:rsid w:val="00730803"/>
    <w:rsid w:val="00730BF1"/>
    <w:rsid w:val="00731F78"/>
    <w:rsid w:val="00733EED"/>
    <w:rsid w:val="00734BA4"/>
    <w:rsid w:val="0073681D"/>
    <w:rsid w:val="0073788C"/>
    <w:rsid w:val="00742CB6"/>
    <w:rsid w:val="00743B73"/>
    <w:rsid w:val="0074411E"/>
    <w:rsid w:val="007468C7"/>
    <w:rsid w:val="00752A2C"/>
    <w:rsid w:val="0075309B"/>
    <w:rsid w:val="00754AFD"/>
    <w:rsid w:val="0075750C"/>
    <w:rsid w:val="00757DDA"/>
    <w:rsid w:val="007606DB"/>
    <w:rsid w:val="00762330"/>
    <w:rsid w:val="007625B0"/>
    <w:rsid w:val="00764B78"/>
    <w:rsid w:val="00765ED2"/>
    <w:rsid w:val="007667AE"/>
    <w:rsid w:val="00766B9E"/>
    <w:rsid w:val="00767525"/>
    <w:rsid w:val="00767A0E"/>
    <w:rsid w:val="007705C8"/>
    <w:rsid w:val="00771EA3"/>
    <w:rsid w:val="00772061"/>
    <w:rsid w:val="007724AB"/>
    <w:rsid w:val="00773ABF"/>
    <w:rsid w:val="00774214"/>
    <w:rsid w:val="007744D0"/>
    <w:rsid w:val="007748EA"/>
    <w:rsid w:val="00774B99"/>
    <w:rsid w:val="00774DCC"/>
    <w:rsid w:val="00775102"/>
    <w:rsid w:val="00775DAB"/>
    <w:rsid w:val="007812E8"/>
    <w:rsid w:val="00783A73"/>
    <w:rsid w:val="00783E0C"/>
    <w:rsid w:val="00785379"/>
    <w:rsid w:val="00786456"/>
    <w:rsid w:val="00786C72"/>
    <w:rsid w:val="0078776A"/>
    <w:rsid w:val="00791CD1"/>
    <w:rsid w:val="00794278"/>
    <w:rsid w:val="007943DF"/>
    <w:rsid w:val="0079479A"/>
    <w:rsid w:val="00795A7A"/>
    <w:rsid w:val="00796A8C"/>
    <w:rsid w:val="0079796A"/>
    <w:rsid w:val="007A1BC3"/>
    <w:rsid w:val="007A35BB"/>
    <w:rsid w:val="007A3C92"/>
    <w:rsid w:val="007A3D3D"/>
    <w:rsid w:val="007A4D8A"/>
    <w:rsid w:val="007A562E"/>
    <w:rsid w:val="007A7080"/>
    <w:rsid w:val="007A7218"/>
    <w:rsid w:val="007B0443"/>
    <w:rsid w:val="007B1088"/>
    <w:rsid w:val="007B6176"/>
    <w:rsid w:val="007C170C"/>
    <w:rsid w:val="007C22EA"/>
    <w:rsid w:val="007C3767"/>
    <w:rsid w:val="007C4268"/>
    <w:rsid w:val="007C4C5C"/>
    <w:rsid w:val="007D05CC"/>
    <w:rsid w:val="007D1D5F"/>
    <w:rsid w:val="007D468A"/>
    <w:rsid w:val="007D57CA"/>
    <w:rsid w:val="007D5C51"/>
    <w:rsid w:val="007D609C"/>
    <w:rsid w:val="007D6B2E"/>
    <w:rsid w:val="007D6DC7"/>
    <w:rsid w:val="007D7D3C"/>
    <w:rsid w:val="007E0AD4"/>
    <w:rsid w:val="007E2471"/>
    <w:rsid w:val="007E3289"/>
    <w:rsid w:val="007E524C"/>
    <w:rsid w:val="007F074B"/>
    <w:rsid w:val="007F27D4"/>
    <w:rsid w:val="007F3125"/>
    <w:rsid w:val="007F5EA6"/>
    <w:rsid w:val="00800085"/>
    <w:rsid w:val="00805A70"/>
    <w:rsid w:val="00805BC4"/>
    <w:rsid w:val="008076B6"/>
    <w:rsid w:val="00807B9C"/>
    <w:rsid w:val="008115E1"/>
    <w:rsid w:val="00811DB6"/>
    <w:rsid w:val="0081209F"/>
    <w:rsid w:val="0082032D"/>
    <w:rsid w:val="00823565"/>
    <w:rsid w:val="00823A5F"/>
    <w:rsid w:val="008310A5"/>
    <w:rsid w:val="008325B2"/>
    <w:rsid w:val="00832A2C"/>
    <w:rsid w:val="00832D00"/>
    <w:rsid w:val="0083315F"/>
    <w:rsid w:val="0083565C"/>
    <w:rsid w:val="00837E59"/>
    <w:rsid w:val="00840F7C"/>
    <w:rsid w:val="00841488"/>
    <w:rsid w:val="0084222B"/>
    <w:rsid w:val="0084417E"/>
    <w:rsid w:val="0084562F"/>
    <w:rsid w:val="008463F2"/>
    <w:rsid w:val="00846922"/>
    <w:rsid w:val="00846AF3"/>
    <w:rsid w:val="00846E10"/>
    <w:rsid w:val="00846E70"/>
    <w:rsid w:val="0084709D"/>
    <w:rsid w:val="0085100B"/>
    <w:rsid w:val="0085230A"/>
    <w:rsid w:val="00853075"/>
    <w:rsid w:val="00853B91"/>
    <w:rsid w:val="008545CE"/>
    <w:rsid w:val="008546C8"/>
    <w:rsid w:val="00855549"/>
    <w:rsid w:val="008638DE"/>
    <w:rsid w:val="00865EB0"/>
    <w:rsid w:val="0086672C"/>
    <w:rsid w:val="00870905"/>
    <w:rsid w:val="00870A37"/>
    <w:rsid w:val="008711BF"/>
    <w:rsid w:val="00871793"/>
    <w:rsid w:val="00871F25"/>
    <w:rsid w:val="00872170"/>
    <w:rsid w:val="008745F3"/>
    <w:rsid w:val="00875724"/>
    <w:rsid w:val="00875B29"/>
    <w:rsid w:val="0087721F"/>
    <w:rsid w:val="008772B8"/>
    <w:rsid w:val="008776F5"/>
    <w:rsid w:val="00880002"/>
    <w:rsid w:val="00880429"/>
    <w:rsid w:val="00881250"/>
    <w:rsid w:val="008838DA"/>
    <w:rsid w:val="00883D6B"/>
    <w:rsid w:val="0088501C"/>
    <w:rsid w:val="0088685F"/>
    <w:rsid w:val="00886B06"/>
    <w:rsid w:val="00890915"/>
    <w:rsid w:val="008915C3"/>
    <w:rsid w:val="00892250"/>
    <w:rsid w:val="0089440F"/>
    <w:rsid w:val="00895394"/>
    <w:rsid w:val="00895AE6"/>
    <w:rsid w:val="00896E51"/>
    <w:rsid w:val="00897824"/>
    <w:rsid w:val="008A0101"/>
    <w:rsid w:val="008A0CDC"/>
    <w:rsid w:val="008A2F8C"/>
    <w:rsid w:val="008A61A7"/>
    <w:rsid w:val="008A7885"/>
    <w:rsid w:val="008A7DAB"/>
    <w:rsid w:val="008B000C"/>
    <w:rsid w:val="008B06B0"/>
    <w:rsid w:val="008B16E1"/>
    <w:rsid w:val="008B17FF"/>
    <w:rsid w:val="008B1CE7"/>
    <w:rsid w:val="008B422A"/>
    <w:rsid w:val="008B5A11"/>
    <w:rsid w:val="008B6F56"/>
    <w:rsid w:val="008C0D4B"/>
    <w:rsid w:val="008C1F23"/>
    <w:rsid w:val="008C3CEA"/>
    <w:rsid w:val="008C459D"/>
    <w:rsid w:val="008C4DE6"/>
    <w:rsid w:val="008C51C2"/>
    <w:rsid w:val="008C759B"/>
    <w:rsid w:val="008D0F45"/>
    <w:rsid w:val="008D1558"/>
    <w:rsid w:val="008D50BB"/>
    <w:rsid w:val="008D7D55"/>
    <w:rsid w:val="008D7EB2"/>
    <w:rsid w:val="008E025A"/>
    <w:rsid w:val="008E089B"/>
    <w:rsid w:val="008E0F38"/>
    <w:rsid w:val="008E1355"/>
    <w:rsid w:val="008E357A"/>
    <w:rsid w:val="008E59F1"/>
    <w:rsid w:val="008E6400"/>
    <w:rsid w:val="008E75D5"/>
    <w:rsid w:val="008E7E88"/>
    <w:rsid w:val="008F05F1"/>
    <w:rsid w:val="008F0F46"/>
    <w:rsid w:val="008F14DF"/>
    <w:rsid w:val="008F198C"/>
    <w:rsid w:val="008F1990"/>
    <w:rsid w:val="008F3023"/>
    <w:rsid w:val="008F37FE"/>
    <w:rsid w:val="008F3DDD"/>
    <w:rsid w:val="008F64D3"/>
    <w:rsid w:val="00900578"/>
    <w:rsid w:val="00900656"/>
    <w:rsid w:val="00901018"/>
    <w:rsid w:val="0090105F"/>
    <w:rsid w:val="00903097"/>
    <w:rsid w:val="00903633"/>
    <w:rsid w:val="00903DDF"/>
    <w:rsid w:val="00904659"/>
    <w:rsid w:val="00905275"/>
    <w:rsid w:val="00905593"/>
    <w:rsid w:val="009073A4"/>
    <w:rsid w:val="0091189E"/>
    <w:rsid w:val="00911B90"/>
    <w:rsid w:val="0091288A"/>
    <w:rsid w:val="0091444B"/>
    <w:rsid w:val="00915498"/>
    <w:rsid w:val="00915C1A"/>
    <w:rsid w:val="00917A01"/>
    <w:rsid w:val="00917DFE"/>
    <w:rsid w:val="00920222"/>
    <w:rsid w:val="00923225"/>
    <w:rsid w:val="00924252"/>
    <w:rsid w:val="00924777"/>
    <w:rsid w:val="009249EB"/>
    <w:rsid w:val="00925B54"/>
    <w:rsid w:val="00926342"/>
    <w:rsid w:val="009264E9"/>
    <w:rsid w:val="009277D1"/>
    <w:rsid w:val="0093136A"/>
    <w:rsid w:val="00931BAA"/>
    <w:rsid w:val="00933D16"/>
    <w:rsid w:val="00937014"/>
    <w:rsid w:val="00937A32"/>
    <w:rsid w:val="00940926"/>
    <w:rsid w:val="00941FCE"/>
    <w:rsid w:val="0094262E"/>
    <w:rsid w:val="00950922"/>
    <w:rsid w:val="00950949"/>
    <w:rsid w:val="00950AFA"/>
    <w:rsid w:val="00951FE8"/>
    <w:rsid w:val="009524AE"/>
    <w:rsid w:val="00953373"/>
    <w:rsid w:val="00953F10"/>
    <w:rsid w:val="009542CF"/>
    <w:rsid w:val="009546D2"/>
    <w:rsid w:val="009547A6"/>
    <w:rsid w:val="00954873"/>
    <w:rsid w:val="00955691"/>
    <w:rsid w:val="00955CC4"/>
    <w:rsid w:val="0095639E"/>
    <w:rsid w:val="009565BB"/>
    <w:rsid w:val="0095712F"/>
    <w:rsid w:val="00962A9A"/>
    <w:rsid w:val="00962BB8"/>
    <w:rsid w:val="00963125"/>
    <w:rsid w:val="00963318"/>
    <w:rsid w:val="00964B66"/>
    <w:rsid w:val="0096790B"/>
    <w:rsid w:val="009708A0"/>
    <w:rsid w:val="009714EA"/>
    <w:rsid w:val="00972CEE"/>
    <w:rsid w:val="00973D7D"/>
    <w:rsid w:val="00974D2B"/>
    <w:rsid w:val="00981D4A"/>
    <w:rsid w:val="0098224B"/>
    <w:rsid w:val="00982259"/>
    <w:rsid w:val="0098364B"/>
    <w:rsid w:val="00983DFE"/>
    <w:rsid w:val="0098462F"/>
    <w:rsid w:val="00986846"/>
    <w:rsid w:val="00986FCA"/>
    <w:rsid w:val="0098712D"/>
    <w:rsid w:val="00987532"/>
    <w:rsid w:val="009901D6"/>
    <w:rsid w:val="00990623"/>
    <w:rsid w:val="00990C54"/>
    <w:rsid w:val="0099360F"/>
    <w:rsid w:val="00996B44"/>
    <w:rsid w:val="009A318C"/>
    <w:rsid w:val="009A31BD"/>
    <w:rsid w:val="009A4F5F"/>
    <w:rsid w:val="009A51E1"/>
    <w:rsid w:val="009A6BEF"/>
    <w:rsid w:val="009A6BF2"/>
    <w:rsid w:val="009B1D09"/>
    <w:rsid w:val="009B2F86"/>
    <w:rsid w:val="009B31DF"/>
    <w:rsid w:val="009B3236"/>
    <w:rsid w:val="009B6F6E"/>
    <w:rsid w:val="009B747F"/>
    <w:rsid w:val="009C1243"/>
    <w:rsid w:val="009C4CA0"/>
    <w:rsid w:val="009C7A9C"/>
    <w:rsid w:val="009D03A0"/>
    <w:rsid w:val="009D1F4E"/>
    <w:rsid w:val="009D2BF3"/>
    <w:rsid w:val="009D32B3"/>
    <w:rsid w:val="009D3AB0"/>
    <w:rsid w:val="009D46A4"/>
    <w:rsid w:val="009D4B29"/>
    <w:rsid w:val="009D51F1"/>
    <w:rsid w:val="009D65B0"/>
    <w:rsid w:val="009D73E0"/>
    <w:rsid w:val="009D7A2B"/>
    <w:rsid w:val="009E00DB"/>
    <w:rsid w:val="009E00DD"/>
    <w:rsid w:val="009E1EB2"/>
    <w:rsid w:val="009E368A"/>
    <w:rsid w:val="009E386C"/>
    <w:rsid w:val="009F16B6"/>
    <w:rsid w:val="009F4277"/>
    <w:rsid w:val="009F43BC"/>
    <w:rsid w:val="009F457E"/>
    <w:rsid w:val="009F480E"/>
    <w:rsid w:val="009F5F98"/>
    <w:rsid w:val="009F7D1D"/>
    <w:rsid w:val="00A01D26"/>
    <w:rsid w:val="00A04AA1"/>
    <w:rsid w:val="00A05DEE"/>
    <w:rsid w:val="00A0790F"/>
    <w:rsid w:val="00A12031"/>
    <w:rsid w:val="00A1246D"/>
    <w:rsid w:val="00A12F51"/>
    <w:rsid w:val="00A13365"/>
    <w:rsid w:val="00A14BDB"/>
    <w:rsid w:val="00A16152"/>
    <w:rsid w:val="00A22473"/>
    <w:rsid w:val="00A23F2D"/>
    <w:rsid w:val="00A269DE"/>
    <w:rsid w:val="00A26F37"/>
    <w:rsid w:val="00A31D52"/>
    <w:rsid w:val="00A37330"/>
    <w:rsid w:val="00A40856"/>
    <w:rsid w:val="00A41354"/>
    <w:rsid w:val="00A4232F"/>
    <w:rsid w:val="00A44089"/>
    <w:rsid w:val="00A53B4D"/>
    <w:rsid w:val="00A5516C"/>
    <w:rsid w:val="00A56142"/>
    <w:rsid w:val="00A610C4"/>
    <w:rsid w:val="00A61228"/>
    <w:rsid w:val="00A6469F"/>
    <w:rsid w:val="00A65B7E"/>
    <w:rsid w:val="00A65CCA"/>
    <w:rsid w:val="00A670AA"/>
    <w:rsid w:val="00A709C5"/>
    <w:rsid w:val="00A7108D"/>
    <w:rsid w:val="00A8178B"/>
    <w:rsid w:val="00A864A3"/>
    <w:rsid w:val="00A9045E"/>
    <w:rsid w:val="00A913AB"/>
    <w:rsid w:val="00A93D09"/>
    <w:rsid w:val="00A9416F"/>
    <w:rsid w:val="00A969B1"/>
    <w:rsid w:val="00A975D8"/>
    <w:rsid w:val="00A97D1F"/>
    <w:rsid w:val="00AA13BB"/>
    <w:rsid w:val="00AA213C"/>
    <w:rsid w:val="00AA2293"/>
    <w:rsid w:val="00AA2818"/>
    <w:rsid w:val="00AA341C"/>
    <w:rsid w:val="00AA5426"/>
    <w:rsid w:val="00AA58FA"/>
    <w:rsid w:val="00AB2DC9"/>
    <w:rsid w:val="00AB36F8"/>
    <w:rsid w:val="00AB575A"/>
    <w:rsid w:val="00AB7E6E"/>
    <w:rsid w:val="00AC02E7"/>
    <w:rsid w:val="00AC231A"/>
    <w:rsid w:val="00AC33E1"/>
    <w:rsid w:val="00AC439D"/>
    <w:rsid w:val="00AC5CFC"/>
    <w:rsid w:val="00AC6C5D"/>
    <w:rsid w:val="00AD26B3"/>
    <w:rsid w:val="00AD29A5"/>
    <w:rsid w:val="00AD3256"/>
    <w:rsid w:val="00AD379A"/>
    <w:rsid w:val="00AD4B16"/>
    <w:rsid w:val="00AD512D"/>
    <w:rsid w:val="00AD6959"/>
    <w:rsid w:val="00AD6BEC"/>
    <w:rsid w:val="00AE3CF7"/>
    <w:rsid w:val="00AE3D00"/>
    <w:rsid w:val="00AE5E61"/>
    <w:rsid w:val="00AE7F4E"/>
    <w:rsid w:val="00AF0037"/>
    <w:rsid w:val="00AF3935"/>
    <w:rsid w:val="00AF41F2"/>
    <w:rsid w:val="00AF452A"/>
    <w:rsid w:val="00AF61F4"/>
    <w:rsid w:val="00AF76B8"/>
    <w:rsid w:val="00AF77A0"/>
    <w:rsid w:val="00AF7D0D"/>
    <w:rsid w:val="00B015C8"/>
    <w:rsid w:val="00B020C4"/>
    <w:rsid w:val="00B0286E"/>
    <w:rsid w:val="00B0343F"/>
    <w:rsid w:val="00B03971"/>
    <w:rsid w:val="00B05BDF"/>
    <w:rsid w:val="00B10CFD"/>
    <w:rsid w:val="00B10FAD"/>
    <w:rsid w:val="00B13722"/>
    <w:rsid w:val="00B13B65"/>
    <w:rsid w:val="00B1450F"/>
    <w:rsid w:val="00B148BC"/>
    <w:rsid w:val="00B17EE4"/>
    <w:rsid w:val="00B20068"/>
    <w:rsid w:val="00B234C5"/>
    <w:rsid w:val="00B24C8D"/>
    <w:rsid w:val="00B262DC"/>
    <w:rsid w:val="00B275F4"/>
    <w:rsid w:val="00B303C2"/>
    <w:rsid w:val="00B332F2"/>
    <w:rsid w:val="00B361AA"/>
    <w:rsid w:val="00B41CAB"/>
    <w:rsid w:val="00B42837"/>
    <w:rsid w:val="00B437B5"/>
    <w:rsid w:val="00B43991"/>
    <w:rsid w:val="00B446A0"/>
    <w:rsid w:val="00B469CB"/>
    <w:rsid w:val="00B4739C"/>
    <w:rsid w:val="00B52485"/>
    <w:rsid w:val="00B52B89"/>
    <w:rsid w:val="00B53CB5"/>
    <w:rsid w:val="00B55CEA"/>
    <w:rsid w:val="00B568B1"/>
    <w:rsid w:val="00B57FE7"/>
    <w:rsid w:val="00B62644"/>
    <w:rsid w:val="00B64351"/>
    <w:rsid w:val="00B65113"/>
    <w:rsid w:val="00B669D8"/>
    <w:rsid w:val="00B671A6"/>
    <w:rsid w:val="00B67B0F"/>
    <w:rsid w:val="00B67D81"/>
    <w:rsid w:val="00B67F50"/>
    <w:rsid w:val="00B70DFB"/>
    <w:rsid w:val="00B7181B"/>
    <w:rsid w:val="00B71B92"/>
    <w:rsid w:val="00B729A2"/>
    <w:rsid w:val="00B763F8"/>
    <w:rsid w:val="00B76679"/>
    <w:rsid w:val="00B84474"/>
    <w:rsid w:val="00B856E0"/>
    <w:rsid w:val="00B85B2E"/>
    <w:rsid w:val="00B862ED"/>
    <w:rsid w:val="00B870B1"/>
    <w:rsid w:val="00B903D9"/>
    <w:rsid w:val="00B907A8"/>
    <w:rsid w:val="00B90B7C"/>
    <w:rsid w:val="00B91846"/>
    <w:rsid w:val="00B93EC2"/>
    <w:rsid w:val="00BA070D"/>
    <w:rsid w:val="00BA2BD6"/>
    <w:rsid w:val="00BA351C"/>
    <w:rsid w:val="00BA59F4"/>
    <w:rsid w:val="00BA6C27"/>
    <w:rsid w:val="00BA7932"/>
    <w:rsid w:val="00BB1152"/>
    <w:rsid w:val="00BB3575"/>
    <w:rsid w:val="00BB3FC7"/>
    <w:rsid w:val="00BB4607"/>
    <w:rsid w:val="00BC249B"/>
    <w:rsid w:val="00BC2755"/>
    <w:rsid w:val="00BC278A"/>
    <w:rsid w:val="00BC2E81"/>
    <w:rsid w:val="00BC4316"/>
    <w:rsid w:val="00BC4E16"/>
    <w:rsid w:val="00BC4F8B"/>
    <w:rsid w:val="00BC5B3B"/>
    <w:rsid w:val="00BC6BD1"/>
    <w:rsid w:val="00BD762B"/>
    <w:rsid w:val="00BE240E"/>
    <w:rsid w:val="00BE404E"/>
    <w:rsid w:val="00BE4F55"/>
    <w:rsid w:val="00BE5472"/>
    <w:rsid w:val="00BE5883"/>
    <w:rsid w:val="00BE7C61"/>
    <w:rsid w:val="00BF19B2"/>
    <w:rsid w:val="00BF385B"/>
    <w:rsid w:val="00BF3AD1"/>
    <w:rsid w:val="00BF5833"/>
    <w:rsid w:val="00BF65B1"/>
    <w:rsid w:val="00C00400"/>
    <w:rsid w:val="00C00B99"/>
    <w:rsid w:val="00C03392"/>
    <w:rsid w:val="00C05A49"/>
    <w:rsid w:val="00C10657"/>
    <w:rsid w:val="00C10D1A"/>
    <w:rsid w:val="00C116CA"/>
    <w:rsid w:val="00C1180B"/>
    <w:rsid w:val="00C12373"/>
    <w:rsid w:val="00C12B24"/>
    <w:rsid w:val="00C13EC8"/>
    <w:rsid w:val="00C1406C"/>
    <w:rsid w:val="00C14EC2"/>
    <w:rsid w:val="00C14F92"/>
    <w:rsid w:val="00C17A03"/>
    <w:rsid w:val="00C20B84"/>
    <w:rsid w:val="00C20E51"/>
    <w:rsid w:val="00C22A6C"/>
    <w:rsid w:val="00C2416C"/>
    <w:rsid w:val="00C2454F"/>
    <w:rsid w:val="00C25974"/>
    <w:rsid w:val="00C278D0"/>
    <w:rsid w:val="00C3043C"/>
    <w:rsid w:val="00C30F5F"/>
    <w:rsid w:val="00C315E6"/>
    <w:rsid w:val="00C3164F"/>
    <w:rsid w:val="00C334F7"/>
    <w:rsid w:val="00C3382F"/>
    <w:rsid w:val="00C34441"/>
    <w:rsid w:val="00C35E07"/>
    <w:rsid w:val="00C405C9"/>
    <w:rsid w:val="00C41BE1"/>
    <w:rsid w:val="00C42E0E"/>
    <w:rsid w:val="00C43EAE"/>
    <w:rsid w:val="00C44ED4"/>
    <w:rsid w:val="00C4616D"/>
    <w:rsid w:val="00C47814"/>
    <w:rsid w:val="00C479E8"/>
    <w:rsid w:val="00C51BA4"/>
    <w:rsid w:val="00C51DD9"/>
    <w:rsid w:val="00C52CF8"/>
    <w:rsid w:val="00C536AD"/>
    <w:rsid w:val="00C548C5"/>
    <w:rsid w:val="00C55E70"/>
    <w:rsid w:val="00C561EA"/>
    <w:rsid w:val="00C57A35"/>
    <w:rsid w:val="00C6020B"/>
    <w:rsid w:val="00C61238"/>
    <w:rsid w:val="00C61A07"/>
    <w:rsid w:val="00C62050"/>
    <w:rsid w:val="00C62314"/>
    <w:rsid w:val="00C6254B"/>
    <w:rsid w:val="00C62FA1"/>
    <w:rsid w:val="00C64325"/>
    <w:rsid w:val="00C65318"/>
    <w:rsid w:val="00C6579A"/>
    <w:rsid w:val="00C67D98"/>
    <w:rsid w:val="00C70B56"/>
    <w:rsid w:val="00C73942"/>
    <w:rsid w:val="00C7501E"/>
    <w:rsid w:val="00C75284"/>
    <w:rsid w:val="00C771BF"/>
    <w:rsid w:val="00C80426"/>
    <w:rsid w:val="00C806E9"/>
    <w:rsid w:val="00C81B3D"/>
    <w:rsid w:val="00C84BB4"/>
    <w:rsid w:val="00C85970"/>
    <w:rsid w:val="00C85B6B"/>
    <w:rsid w:val="00C85BE7"/>
    <w:rsid w:val="00C85C2C"/>
    <w:rsid w:val="00C90073"/>
    <w:rsid w:val="00C90AFD"/>
    <w:rsid w:val="00C91746"/>
    <w:rsid w:val="00C9273E"/>
    <w:rsid w:val="00C92F11"/>
    <w:rsid w:val="00C93C9F"/>
    <w:rsid w:val="00C974E6"/>
    <w:rsid w:val="00CA003A"/>
    <w:rsid w:val="00CA145A"/>
    <w:rsid w:val="00CA38C4"/>
    <w:rsid w:val="00CA62B1"/>
    <w:rsid w:val="00CA6AE7"/>
    <w:rsid w:val="00CA6FE8"/>
    <w:rsid w:val="00CB2608"/>
    <w:rsid w:val="00CB2C7C"/>
    <w:rsid w:val="00CC0BB4"/>
    <w:rsid w:val="00CC0BC4"/>
    <w:rsid w:val="00CC1036"/>
    <w:rsid w:val="00CC15D1"/>
    <w:rsid w:val="00CC45A5"/>
    <w:rsid w:val="00CD4E27"/>
    <w:rsid w:val="00CD6B00"/>
    <w:rsid w:val="00CE0F43"/>
    <w:rsid w:val="00CE19B0"/>
    <w:rsid w:val="00CE2C20"/>
    <w:rsid w:val="00CE2ECC"/>
    <w:rsid w:val="00CE34AC"/>
    <w:rsid w:val="00CE382F"/>
    <w:rsid w:val="00CE5C3B"/>
    <w:rsid w:val="00CE5E68"/>
    <w:rsid w:val="00CE65C5"/>
    <w:rsid w:val="00CF02F6"/>
    <w:rsid w:val="00CF17F0"/>
    <w:rsid w:val="00CF2AC7"/>
    <w:rsid w:val="00CF35A5"/>
    <w:rsid w:val="00CF4721"/>
    <w:rsid w:val="00CF505A"/>
    <w:rsid w:val="00CF51DA"/>
    <w:rsid w:val="00CF5C5A"/>
    <w:rsid w:val="00CF7281"/>
    <w:rsid w:val="00D02F0E"/>
    <w:rsid w:val="00D047E3"/>
    <w:rsid w:val="00D05073"/>
    <w:rsid w:val="00D1038B"/>
    <w:rsid w:val="00D10BB6"/>
    <w:rsid w:val="00D118F4"/>
    <w:rsid w:val="00D13E52"/>
    <w:rsid w:val="00D1414B"/>
    <w:rsid w:val="00D16AF9"/>
    <w:rsid w:val="00D21241"/>
    <w:rsid w:val="00D2208A"/>
    <w:rsid w:val="00D25C2C"/>
    <w:rsid w:val="00D26048"/>
    <w:rsid w:val="00D32098"/>
    <w:rsid w:val="00D33C67"/>
    <w:rsid w:val="00D4097C"/>
    <w:rsid w:val="00D40980"/>
    <w:rsid w:val="00D40CF9"/>
    <w:rsid w:val="00D4118E"/>
    <w:rsid w:val="00D430CC"/>
    <w:rsid w:val="00D437CA"/>
    <w:rsid w:val="00D43E2F"/>
    <w:rsid w:val="00D45C20"/>
    <w:rsid w:val="00D468A8"/>
    <w:rsid w:val="00D47B78"/>
    <w:rsid w:val="00D51778"/>
    <w:rsid w:val="00D53693"/>
    <w:rsid w:val="00D55675"/>
    <w:rsid w:val="00D5670F"/>
    <w:rsid w:val="00D6121E"/>
    <w:rsid w:val="00D61734"/>
    <w:rsid w:val="00D627BF"/>
    <w:rsid w:val="00D62976"/>
    <w:rsid w:val="00D62BAB"/>
    <w:rsid w:val="00D62D67"/>
    <w:rsid w:val="00D62E36"/>
    <w:rsid w:val="00D63874"/>
    <w:rsid w:val="00D63D26"/>
    <w:rsid w:val="00D6456A"/>
    <w:rsid w:val="00D66CEB"/>
    <w:rsid w:val="00D67DE8"/>
    <w:rsid w:val="00D7296B"/>
    <w:rsid w:val="00D73132"/>
    <w:rsid w:val="00D73AE5"/>
    <w:rsid w:val="00D75C35"/>
    <w:rsid w:val="00D75FFF"/>
    <w:rsid w:val="00D7638A"/>
    <w:rsid w:val="00D76DB4"/>
    <w:rsid w:val="00D8156B"/>
    <w:rsid w:val="00D8306A"/>
    <w:rsid w:val="00D83C4D"/>
    <w:rsid w:val="00D83DC2"/>
    <w:rsid w:val="00D8482B"/>
    <w:rsid w:val="00D87CD3"/>
    <w:rsid w:val="00D90A45"/>
    <w:rsid w:val="00D91C36"/>
    <w:rsid w:val="00D92B9A"/>
    <w:rsid w:val="00D93648"/>
    <w:rsid w:val="00DA0233"/>
    <w:rsid w:val="00DA0E47"/>
    <w:rsid w:val="00DB131B"/>
    <w:rsid w:val="00DB21BC"/>
    <w:rsid w:val="00DB2A80"/>
    <w:rsid w:val="00DB3A4C"/>
    <w:rsid w:val="00DB45CC"/>
    <w:rsid w:val="00DB4F8A"/>
    <w:rsid w:val="00DB593C"/>
    <w:rsid w:val="00DB5BDE"/>
    <w:rsid w:val="00DC0D91"/>
    <w:rsid w:val="00DC40F6"/>
    <w:rsid w:val="00DC4F82"/>
    <w:rsid w:val="00DC5B4C"/>
    <w:rsid w:val="00DC6EBE"/>
    <w:rsid w:val="00DC7CCD"/>
    <w:rsid w:val="00DD3E55"/>
    <w:rsid w:val="00DD6929"/>
    <w:rsid w:val="00DE0B44"/>
    <w:rsid w:val="00DE65F5"/>
    <w:rsid w:val="00DE7192"/>
    <w:rsid w:val="00DF1256"/>
    <w:rsid w:val="00DF3DC6"/>
    <w:rsid w:val="00DF4904"/>
    <w:rsid w:val="00DF6110"/>
    <w:rsid w:val="00E0182E"/>
    <w:rsid w:val="00E0295F"/>
    <w:rsid w:val="00E02FF2"/>
    <w:rsid w:val="00E05D77"/>
    <w:rsid w:val="00E06798"/>
    <w:rsid w:val="00E0704E"/>
    <w:rsid w:val="00E0779D"/>
    <w:rsid w:val="00E07B25"/>
    <w:rsid w:val="00E10E7D"/>
    <w:rsid w:val="00E11E68"/>
    <w:rsid w:val="00E126D2"/>
    <w:rsid w:val="00E14F8B"/>
    <w:rsid w:val="00E171E5"/>
    <w:rsid w:val="00E201C0"/>
    <w:rsid w:val="00E20A2E"/>
    <w:rsid w:val="00E21556"/>
    <w:rsid w:val="00E21C19"/>
    <w:rsid w:val="00E27860"/>
    <w:rsid w:val="00E31460"/>
    <w:rsid w:val="00E33574"/>
    <w:rsid w:val="00E36940"/>
    <w:rsid w:val="00E37E3E"/>
    <w:rsid w:val="00E40C42"/>
    <w:rsid w:val="00E41C5F"/>
    <w:rsid w:val="00E42D79"/>
    <w:rsid w:val="00E43FF4"/>
    <w:rsid w:val="00E514EE"/>
    <w:rsid w:val="00E53B61"/>
    <w:rsid w:val="00E55074"/>
    <w:rsid w:val="00E550EF"/>
    <w:rsid w:val="00E5685C"/>
    <w:rsid w:val="00E56D74"/>
    <w:rsid w:val="00E612E2"/>
    <w:rsid w:val="00E61B6D"/>
    <w:rsid w:val="00E61B82"/>
    <w:rsid w:val="00E62FF1"/>
    <w:rsid w:val="00E649B8"/>
    <w:rsid w:val="00E66DFA"/>
    <w:rsid w:val="00E66F6D"/>
    <w:rsid w:val="00E6750B"/>
    <w:rsid w:val="00E713E0"/>
    <w:rsid w:val="00E71A9B"/>
    <w:rsid w:val="00E72EDC"/>
    <w:rsid w:val="00E73417"/>
    <w:rsid w:val="00E734EA"/>
    <w:rsid w:val="00E74A52"/>
    <w:rsid w:val="00E75ADB"/>
    <w:rsid w:val="00E773CF"/>
    <w:rsid w:val="00E805E7"/>
    <w:rsid w:val="00E8243B"/>
    <w:rsid w:val="00E824DE"/>
    <w:rsid w:val="00E82725"/>
    <w:rsid w:val="00E863FF"/>
    <w:rsid w:val="00E87C5B"/>
    <w:rsid w:val="00E904C0"/>
    <w:rsid w:val="00E91ADA"/>
    <w:rsid w:val="00E9310F"/>
    <w:rsid w:val="00E94D0C"/>
    <w:rsid w:val="00E958B0"/>
    <w:rsid w:val="00E9594B"/>
    <w:rsid w:val="00E97624"/>
    <w:rsid w:val="00E97A1B"/>
    <w:rsid w:val="00EA05DA"/>
    <w:rsid w:val="00EA1928"/>
    <w:rsid w:val="00EA1B33"/>
    <w:rsid w:val="00EA2228"/>
    <w:rsid w:val="00EA26A7"/>
    <w:rsid w:val="00EA2A1A"/>
    <w:rsid w:val="00EA4E7B"/>
    <w:rsid w:val="00EA55E9"/>
    <w:rsid w:val="00EA560B"/>
    <w:rsid w:val="00EA6346"/>
    <w:rsid w:val="00EA6462"/>
    <w:rsid w:val="00EA7067"/>
    <w:rsid w:val="00EA78F2"/>
    <w:rsid w:val="00EA7E49"/>
    <w:rsid w:val="00EB0F36"/>
    <w:rsid w:val="00EB2C2A"/>
    <w:rsid w:val="00EC116D"/>
    <w:rsid w:val="00EC2E72"/>
    <w:rsid w:val="00EC5093"/>
    <w:rsid w:val="00EC5E52"/>
    <w:rsid w:val="00EC70FA"/>
    <w:rsid w:val="00ED42D8"/>
    <w:rsid w:val="00ED545F"/>
    <w:rsid w:val="00ED69A6"/>
    <w:rsid w:val="00ED6B38"/>
    <w:rsid w:val="00EE0979"/>
    <w:rsid w:val="00EE12CF"/>
    <w:rsid w:val="00EE2173"/>
    <w:rsid w:val="00EE5FBC"/>
    <w:rsid w:val="00EE6372"/>
    <w:rsid w:val="00EF08F7"/>
    <w:rsid w:val="00EF2EE0"/>
    <w:rsid w:val="00EF3396"/>
    <w:rsid w:val="00EF42F6"/>
    <w:rsid w:val="00EF5206"/>
    <w:rsid w:val="00EF6DD9"/>
    <w:rsid w:val="00EF70F0"/>
    <w:rsid w:val="00F01BBB"/>
    <w:rsid w:val="00F01CF5"/>
    <w:rsid w:val="00F0262D"/>
    <w:rsid w:val="00F02CCD"/>
    <w:rsid w:val="00F041DD"/>
    <w:rsid w:val="00F05D51"/>
    <w:rsid w:val="00F05EEB"/>
    <w:rsid w:val="00F06627"/>
    <w:rsid w:val="00F06902"/>
    <w:rsid w:val="00F070E0"/>
    <w:rsid w:val="00F10003"/>
    <w:rsid w:val="00F101A0"/>
    <w:rsid w:val="00F111D6"/>
    <w:rsid w:val="00F125CF"/>
    <w:rsid w:val="00F13A08"/>
    <w:rsid w:val="00F13BFD"/>
    <w:rsid w:val="00F15142"/>
    <w:rsid w:val="00F15AAC"/>
    <w:rsid w:val="00F1649D"/>
    <w:rsid w:val="00F16BE4"/>
    <w:rsid w:val="00F174DB"/>
    <w:rsid w:val="00F17DD5"/>
    <w:rsid w:val="00F17EC2"/>
    <w:rsid w:val="00F20408"/>
    <w:rsid w:val="00F20F41"/>
    <w:rsid w:val="00F22E8E"/>
    <w:rsid w:val="00F2396C"/>
    <w:rsid w:val="00F23BA5"/>
    <w:rsid w:val="00F24789"/>
    <w:rsid w:val="00F2515B"/>
    <w:rsid w:val="00F251F6"/>
    <w:rsid w:val="00F32026"/>
    <w:rsid w:val="00F325F1"/>
    <w:rsid w:val="00F32C3B"/>
    <w:rsid w:val="00F33A53"/>
    <w:rsid w:val="00F33B43"/>
    <w:rsid w:val="00F34D56"/>
    <w:rsid w:val="00F354A0"/>
    <w:rsid w:val="00F37ED5"/>
    <w:rsid w:val="00F43F6B"/>
    <w:rsid w:val="00F442D9"/>
    <w:rsid w:val="00F46360"/>
    <w:rsid w:val="00F52F29"/>
    <w:rsid w:val="00F53EEE"/>
    <w:rsid w:val="00F540D4"/>
    <w:rsid w:val="00F569A7"/>
    <w:rsid w:val="00F57108"/>
    <w:rsid w:val="00F6004D"/>
    <w:rsid w:val="00F60EC9"/>
    <w:rsid w:val="00F61A8D"/>
    <w:rsid w:val="00F64634"/>
    <w:rsid w:val="00F668D0"/>
    <w:rsid w:val="00F675F5"/>
    <w:rsid w:val="00F677A8"/>
    <w:rsid w:val="00F67B50"/>
    <w:rsid w:val="00F67D82"/>
    <w:rsid w:val="00F70AAC"/>
    <w:rsid w:val="00F7181F"/>
    <w:rsid w:val="00F71C2A"/>
    <w:rsid w:val="00F72F19"/>
    <w:rsid w:val="00F7509B"/>
    <w:rsid w:val="00F75100"/>
    <w:rsid w:val="00F82AB2"/>
    <w:rsid w:val="00F8375B"/>
    <w:rsid w:val="00F84B13"/>
    <w:rsid w:val="00F85B1F"/>
    <w:rsid w:val="00F85C62"/>
    <w:rsid w:val="00F8644A"/>
    <w:rsid w:val="00F90303"/>
    <w:rsid w:val="00F90E26"/>
    <w:rsid w:val="00F914A4"/>
    <w:rsid w:val="00F91980"/>
    <w:rsid w:val="00F9277E"/>
    <w:rsid w:val="00F93080"/>
    <w:rsid w:val="00F953A4"/>
    <w:rsid w:val="00FA031D"/>
    <w:rsid w:val="00FA251B"/>
    <w:rsid w:val="00FA5BC1"/>
    <w:rsid w:val="00FA5F9E"/>
    <w:rsid w:val="00FA6479"/>
    <w:rsid w:val="00FB06E0"/>
    <w:rsid w:val="00FB081E"/>
    <w:rsid w:val="00FB174D"/>
    <w:rsid w:val="00FB192D"/>
    <w:rsid w:val="00FB246F"/>
    <w:rsid w:val="00FB273A"/>
    <w:rsid w:val="00FB2CFC"/>
    <w:rsid w:val="00FB3EAC"/>
    <w:rsid w:val="00FB47BF"/>
    <w:rsid w:val="00FB67CB"/>
    <w:rsid w:val="00FB69A5"/>
    <w:rsid w:val="00FB6D93"/>
    <w:rsid w:val="00FB7492"/>
    <w:rsid w:val="00FC1F9F"/>
    <w:rsid w:val="00FC311F"/>
    <w:rsid w:val="00FC4EC3"/>
    <w:rsid w:val="00FC6036"/>
    <w:rsid w:val="00FC695E"/>
    <w:rsid w:val="00FD0BA7"/>
    <w:rsid w:val="00FD2B6C"/>
    <w:rsid w:val="00FD32F4"/>
    <w:rsid w:val="00FD4F0E"/>
    <w:rsid w:val="00FD540E"/>
    <w:rsid w:val="00FD696B"/>
    <w:rsid w:val="00FD7179"/>
    <w:rsid w:val="00FE063E"/>
    <w:rsid w:val="00FE08A4"/>
    <w:rsid w:val="00FE4BCE"/>
    <w:rsid w:val="00FE61E2"/>
    <w:rsid w:val="00FE6DCE"/>
    <w:rsid w:val="00FF0FF1"/>
    <w:rsid w:val="00FF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1494F4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142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qFormat/>
    <w:rsid w:val="00AB7E6E"/>
    <w:pPr>
      <w:keepNext/>
      <w:keepLines/>
      <w:shd w:val="clear" w:color="auto" w:fill="EEECE1" w:themeFill="background2"/>
      <w:spacing w:before="480" w:after="0"/>
      <w:outlineLvl w:val="0"/>
    </w:pPr>
    <w:rPr>
      <w:rFonts w:eastAsiaTheme="majorEastAsia" w:cstheme="majorBidi"/>
      <w:b/>
      <w:bCs/>
      <w:color w:val="595959" w:themeColor="text1" w:themeTint="A6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4D7FF0"/>
    <w:pPr>
      <w:keepNext/>
      <w:keepLines/>
      <w:pBdr>
        <w:bottom w:val="single" w:sz="8" w:space="1" w:color="auto"/>
      </w:pBdr>
      <w:spacing w:before="200" w:after="0"/>
      <w:outlineLvl w:val="1"/>
    </w:pPr>
    <w:rPr>
      <w:rFonts w:ascii="Arial" w:eastAsiaTheme="majorEastAsia" w:hAnsi="Arial" w:cstheme="majorBidi"/>
      <w:b/>
      <w:bCs/>
      <w:color w:val="595959" w:themeColor="text1" w:themeTint="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656"/>
    <w:pPr>
      <w:keepNext/>
      <w:keepLines/>
      <w:pBdr>
        <w:bottom w:val="single" w:sz="4" w:space="1" w:color="auto"/>
      </w:pBdr>
      <w:spacing w:before="200" w:after="0"/>
      <w:outlineLvl w:val="2"/>
    </w:pPr>
    <w:rPr>
      <w:rFonts w:eastAsiaTheme="majorEastAsia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7E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7E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B7E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B7E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B7E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B7E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2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Table text"/>
    <w:basedOn w:val="Normal"/>
    <w:link w:val="ListParagraphChar"/>
    <w:uiPriority w:val="34"/>
    <w:qFormat/>
    <w:rsid w:val="00A61228"/>
    <w:pPr>
      <w:spacing w:after="0" w:line="240" w:lineRule="auto"/>
      <w:ind w:left="720"/>
      <w:contextualSpacing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59"/>
    <w:rsid w:val="00F02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5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073"/>
  </w:style>
  <w:style w:type="paragraph" w:styleId="Footer">
    <w:name w:val="footer"/>
    <w:basedOn w:val="Normal"/>
    <w:link w:val="FooterChar"/>
    <w:uiPriority w:val="99"/>
    <w:unhideWhenUsed/>
    <w:rsid w:val="00D05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073"/>
  </w:style>
  <w:style w:type="paragraph" w:styleId="NoSpacing">
    <w:name w:val="No Spacing"/>
    <w:link w:val="NoSpacingChar"/>
    <w:uiPriority w:val="1"/>
    <w:qFormat/>
    <w:rsid w:val="00964B6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64B6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B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7E6E"/>
    <w:rPr>
      <w:rFonts w:ascii="Verdana" w:eastAsiaTheme="majorEastAsia" w:hAnsi="Verdana" w:cstheme="majorBidi"/>
      <w:b/>
      <w:bCs/>
      <w:color w:val="595959" w:themeColor="text1" w:themeTint="A6"/>
      <w:sz w:val="28"/>
      <w:szCs w:val="28"/>
      <w:shd w:val="clear" w:color="auto" w:fill="EEECE1" w:themeFill="background2"/>
    </w:rPr>
  </w:style>
  <w:style w:type="paragraph" w:styleId="TOCHeading">
    <w:name w:val="TOC Heading"/>
    <w:basedOn w:val="Heading1"/>
    <w:next w:val="Normal"/>
    <w:uiPriority w:val="39"/>
    <w:unhideWhenUsed/>
    <w:qFormat/>
    <w:rsid w:val="00B55CE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51D88"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character" w:styleId="Hyperlink">
    <w:name w:val="Hyperlink"/>
    <w:basedOn w:val="DefaultParagraphFont"/>
    <w:uiPriority w:val="99"/>
    <w:unhideWhenUsed/>
    <w:rsid w:val="00B55CEA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4D7FF0"/>
    <w:rPr>
      <w:rFonts w:ascii="Arial" w:eastAsiaTheme="majorEastAsia" w:hAnsi="Arial" w:cstheme="majorBidi"/>
      <w:b/>
      <w:bCs/>
      <w:color w:val="595959" w:themeColor="text1" w:themeTint="A6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16326"/>
    <w:pPr>
      <w:spacing w:after="0"/>
      <w:ind w:left="200"/>
    </w:pPr>
    <w:rPr>
      <w:rFonts w:asciiTheme="minorHAnsi" w:hAnsiTheme="minorHAnsi"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0C0C"/>
    <w:pPr>
      <w:spacing w:after="0"/>
      <w:ind w:left="400"/>
    </w:pPr>
    <w:rPr>
      <w:rFonts w:asciiTheme="minorHAnsi" w:hAnsiTheme="minorHAnsi" w:cstheme="minorHAnsi"/>
      <w:i/>
      <w:iCs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00656"/>
    <w:rPr>
      <w:rFonts w:ascii="Verdana" w:eastAsiaTheme="majorEastAsia" w:hAnsi="Verdana" w:cstheme="majorBidi"/>
      <w:b/>
      <w:bCs/>
      <w:color w:val="4F81BD" w:themeColor="accent1"/>
      <w:sz w:val="24"/>
    </w:rPr>
  </w:style>
  <w:style w:type="table" w:customStyle="1" w:styleId="TableGrid1">
    <w:name w:val="Table Grid1"/>
    <w:basedOn w:val="TableNormal"/>
    <w:next w:val="TableGrid"/>
    <w:uiPriority w:val="39"/>
    <w:rsid w:val="00C14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AB7E6E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B7E6E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rsid w:val="00AB7E6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rsid w:val="00AB7E6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rsid w:val="00AB7E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rsid w:val="00AB7E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umberedHeading1">
    <w:name w:val="NumberedHeading 1"/>
    <w:basedOn w:val="Heading1"/>
    <w:link w:val="NumberedHeading1Char"/>
    <w:rsid w:val="00047AB8"/>
    <w:pPr>
      <w:numPr>
        <w:numId w:val="1"/>
      </w:numPr>
      <w:shd w:val="solid" w:color="7F7F7F" w:themeColor="text1" w:themeTint="80" w:fill="7F7F7F" w:themeFill="text1" w:themeFillTint="80"/>
      <w:spacing w:before="240" w:after="240"/>
    </w:pPr>
    <w:rPr>
      <w:color w:val="FFFFFF" w:themeColor="background1"/>
    </w:rPr>
  </w:style>
  <w:style w:type="character" w:customStyle="1" w:styleId="NumberedHeading1Char">
    <w:name w:val="NumberedHeading 1 Char"/>
    <w:basedOn w:val="Heading1Char"/>
    <w:link w:val="NumberedHeading1"/>
    <w:rsid w:val="00047AB8"/>
    <w:rPr>
      <w:rFonts w:ascii="Verdana" w:eastAsiaTheme="majorEastAsia" w:hAnsi="Verdana" w:cstheme="majorBidi"/>
      <w:b/>
      <w:bCs/>
      <w:color w:val="FFFFFF" w:themeColor="background1"/>
      <w:sz w:val="28"/>
      <w:szCs w:val="28"/>
      <w:shd w:val="solid" w:color="7F7F7F" w:themeColor="text1" w:themeTint="80" w:fill="7F7F7F" w:themeFill="text1" w:themeFillTint="80"/>
    </w:rPr>
  </w:style>
  <w:style w:type="paragraph" w:customStyle="1" w:styleId="NumberedHeading2">
    <w:name w:val="NumberedHeading 2"/>
    <w:basedOn w:val="Heading2"/>
    <w:link w:val="NumberedHeading2Char"/>
    <w:rsid w:val="00047AB8"/>
    <w:pPr>
      <w:numPr>
        <w:numId w:val="2"/>
      </w:numPr>
      <w:pBdr>
        <w:bottom w:val="double" w:sz="4" w:space="1" w:color="auto"/>
      </w:pBdr>
      <w:spacing w:before="240" w:after="240"/>
    </w:pPr>
    <w:rPr>
      <w:color w:val="404040" w:themeColor="text1" w:themeTint="BF"/>
      <w:lang w:val="en-GB"/>
    </w:rPr>
  </w:style>
  <w:style w:type="paragraph" w:customStyle="1" w:styleId="NumberedHeading3">
    <w:name w:val="NumberedHeading 3"/>
    <w:basedOn w:val="Heading3"/>
    <w:link w:val="NumberedHeading3Char"/>
    <w:rsid w:val="00047AB8"/>
    <w:pPr>
      <w:numPr>
        <w:numId w:val="3"/>
      </w:numPr>
      <w:spacing w:before="240" w:after="120" w:line="240" w:lineRule="auto"/>
    </w:pPr>
    <w:rPr>
      <w:color w:val="000000" w:themeColor="text1"/>
      <w:szCs w:val="21"/>
      <w:lang w:val="en-GB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character" w:customStyle="1" w:styleId="NumberedHeading2Char">
    <w:name w:val="NumberedHeading 2 Char"/>
    <w:basedOn w:val="Heading2Char"/>
    <w:link w:val="NumberedHeading2"/>
    <w:rsid w:val="00047AB8"/>
    <w:rPr>
      <w:rFonts w:ascii="Arial" w:eastAsiaTheme="majorEastAsia" w:hAnsi="Arial" w:cstheme="majorBidi"/>
      <w:b/>
      <w:bCs/>
      <w:color w:val="404040" w:themeColor="text1" w:themeTint="BF"/>
      <w:sz w:val="26"/>
      <w:szCs w:val="26"/>
      <w:lang w:val="en-GB"/>
    </w:rPr>
  </w:style>
  <w:style w:type="character" w:customStyle="1" w:styleId="NumberedHeading3Char">
    <w:name w:val="NumberedHeading 3 Char"/>
    <w:basedOn w:val="Heading3Char"/>
    <w:link w:val="NumberedHeading3"/>
    <w:rsid w:val="00047AB8"/>
    <w:rPr>
      <w:rFonts w:ascii="Verdana" w:eastAsiaTheme="majorEastAsia" w:hAnsi="Verdana" w:cstheme="majorBidi"/>
      <w:b/>
      <w:bCs/>
      <w:color w:val="000000" w:themeColor="text1"/>
      <w:sz w:val="24"/>
      <w:szCs w:val="21"/>
      <w:lang w:val="en-GB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paragraph" w:customStyle="1" w:styleId="C698FFA612904E94AE58900D62BE995D">
    <w:name w:val="C698FFA612904E94AE58900D62BE995D"/>
    <w:rsid w:val="00047AB8"/>
    <w:rPr>
      <w:rFonts w:eastAsiaTheme="minorEastAsia"/>
    </w:rPr>
  </w:style>
  <w:style w:type="paragraph" w:styleId="FootnoteText">
    <w:name w:val="footnote text"/>
    <w:aliases w:val="fn,FT,ft"/>
    <w:basedOn w:val="Normal"/>
    <w:link w:val="FootnoteTextChar"/>
    <w:uiPriority w:val="99"/>
    <w:semiHidden/>
    <w:unhideWhenUsed/>
    <w:rsid w:val="00047AB8"/>
    <w:pPr>
      <w:spacing w:after="0" w:line="240" w:lineRule="auto"/>
    </w:pPr>
    <w:rPr>
      <w:rFonts w:asciiTheme="minorHAnsi" w:hAnsiTheme="minorHAnsi" w:cs="Times New Roman"/>
      <w:szCs w:val="20"/>
    </w:rPr>
  </w:style>
  <w:style w:type="character" w:customStyle="1" w:styleId="FootnoteTextChar">
    <w:name w:val="Footnote Text Char"/>
    <w:aliases w:val="fn Char,FT Char,ft Char"/>
    <w:basedOn w:val="DefaultParagraphFont"/>
    <w:link w:val="FootnoteText"/>
    <w:uiPriority w:val="99"/>
    <w:rsid w:val="00047AB8"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7AB8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47AB8"/>
    <w:pPr>
      <w:spacing w:line="240" w:lineRule="auto"/>
    </w:pPr>
    <w:rPr>
      <w:rFonts w:asciiTheme="minorHAnsi" w:hAnsiTheme="minorHAnsi" w:cs="Times New Roman"/>
      <w:bCs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47AB8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47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7AB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47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7AB8"/>
    <w:pPr>
      <w:spacing w:line="240" w:lineRule="auto"/>
    </w:pPr>
    <w:rPr>
      <w:rFonts w:asciiTheme="minorHAnsi" w:hAnsiTheme="minorHAnsi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7AB8"/>
    <w:rPr>
      <w:rFonts w:cs="Times New Roman"/>
      <w:sz w:val="20"/>
      <w:szCs w:val="20"/>
    </w:rPr>
  </w:style>
  <w:style w:type="paragraph" w:styleId="Revision">
    <w:name w:val="Revision"/>
    <w:hidden/>
    <w:uiPriority w:val="99"/>
    <w:semiHidden/>
    <w:rsid w:val="00047AB8"/>
    <w:pPr>
      <w:spacing w:after="0" w:line="240" w:lineRule="auto"/>
    </w:pPr>
    <w:rPr>
      <w:rFonts w:ascii="EYInterstate" w:hAnsi="EYInterstate" w:cs="Times New Roman"/>
      <w:sz w:val="21"/>
      <w:szCs w:val="21"/>
    </w:rPr>
  </w:style>
  <w:style w:type="table" w:customStyle="1" w:styleId="LightList1">
    <w:name w:val="Light List1"/>
    <w:basedOn w:val="TableNormal"/>
    <w:uiPriority w:val="61"/>
    <w:rsid w:val="00047AB8"/>
    <w:pPr>
      <w:spacing w:after="0" w:line="240" w:lineRule="auto"/>
    </w:pPr>
    <w:rPr>
      <w:rFonts w:ascii="EYInterstate" w:hAnsi="EYInterstate" w:cs="Times New Roman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047A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7AB8"/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72"/>
      <w:szCs w:val="5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AB8"/>
    <w:rPr>
      <w:rFonts w:cs="Times New Roman"/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47AB8"/>
    <w:pPr>
      <w:spacing w:after="0"/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7AB8"/>
    <w:pPr>
      <w:spacing w:after="0"/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7AB8"/>
    <w:pPr>
      <w:spacing w:after="0"/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7AB8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7AB8"/>
    <w:pPr>
      <w:spacing w:after="0"/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7AB8"/>
    <w:pPr>
      <w:spacing w:after="0"/>
      <w:ind w:left="1600"/>
    </w:pPr>
    <w:rPr>
      <w:rFonts w:asciiTheme="minorHAnsi" w:hAnsiTheme="minorHAnsi" w:cstheme="minorHAnsi"/>
      <w:sz w:val="18"/>
      <w:szCs w:val="18"/>
    </w:rPr>
  </w:style>
  <w:style w:type="table" w:styleId="LightShading-Accent6">
    <w:name w:val="Light Shading Accent 6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E36C0A" w:themeColor="accent6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Shading1">
    <w:name w:val="Light Shading1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000000" w:themeColor="tex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2">
    <w:name w:val="Light Shading2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000000" w:themeColor="tex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365F91" w:themeColor="accen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2">
    <w:name w:val="Light Shading - Accent 12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365F91" w:themeColor="accen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Bodycopy">
    <w:name w:val="Body copy"/>
    <w:basedOn w:val="Normal"/>
    <w:qFormat/>
    <w:rsid w:val="00047AB8"/>
    <w:pPr>
      <w:spacing w:before="120" w:after="240"/>
      <w:jc w:val="both"/>
    </w:pPr>
    <w:rPr>
      <w:rFonts w:asciiTheme="minorHAnsi" w:eastAsia="Times New Roman" w:hAnsiTheme="minorHAnsi" w:cs="Times New Roman"/>
      <w:color w:val="000000"/>
      <w:sz w:val="22"/>
      <w:lang w:val="en-GB"/>
    </w:rPr>
  </w:style>
  <w:style w:type="paragraph" w:customStyle="1" w:styleId="NumberedHeading10">
    <w:name w:val="Numbered Heading 1"/>
    <w:basedOn w:val="Heading1"/>
    <w:rsid w:val="00047AB8"/>
    <w:pPr>
      <w:keepNext w:val="0"/>
      <w:keepLines w:val="0"/>
      <w:shd w:val="clear" w:color="auto" w:fill="auto"/>
      <w:tabs>
        <w:tab w:val="num" w:pos="252"/>
      </w:tabs>
      <w:spacing w:before="0" w:after="275" w:line="240" w:lineRule="auto"/>
      <w:ind w:left="1134" w:hanging="1134"/>
      <w:jc w:val="both"/>
    </w:pPr>
    <w:rPr>
      <w:rFonts w:asciiTheme="majorHAnsi" w:eastAsia="Times New Roman" w:hAnsiTheme="majorHAnsi" w:cs="Arial"/>
      <w:b w:val="0"/>
      <w:color w:val="7F7E82"/>
      <w:spacing w:val="-10"/>
      <w:kern w:val="32"/>
      <w:sz w:val="48"/>
      <w:szCs w:val="48"/>
      <w:lang w:val="en-GB"/>
    </w:rPr>
  </w:style>
  <w:style w:type="paragraph" w:customStyle="1" w:styleId="NumberedHeading20">
    <w:name w:val="Numbered Heading 2"/>
    <w:basedOn w:val="Heading2"/>
    <w:rsid w:val="00047AB8"/>
    <w:pPr>
      <w:keepNext w:val="0"/>
      <w:keepLines w:val="0"/>
      <w:pBdr>
        <w:bottom w:val="none" w:sz="0" w:space="0" w:color="auto"/>
      </w:pBdr>
      <w:tabs>
        <w:tab w:val="num" w:pos="252"/>
      </w:tabs>
      <w:spacing w:before="0" w:after="240" w:line="470" w:lineRule="exact"/>
      <w:ind w:left="1134" w:hanging="1134"/>
      <w:jc w:val="both"/>
    </w:pPr>
    <w:rPr>
      <w:rFonts w:asciiTheme="majorHAnsi" w:eastAsia="Times New Roman" w:hAnsiTheme="majorHAnsi" w:cs="Arial"/>
      <w:color w:val="auto"/>
      <w:spacing w:val="-10"/>
      <w:kern w:val="32"/>
      <w:sz w:val="28"/>
      <w:szCs w:val="28"/>
      <w:lang w:val="en-GB"/>
    </w:rPr>
  </w:style>
  <w:style w:type="paragraph" w:customStyle="1" w:styleId="NumberedHeading30">
    <w:name w:val="Numbered Heading 3"/>
    <w:basedOn w:val="Heading3"/>
    <w:rsid w:val="00047AB8"/>
    <w:pPr>
      <w:keepLines w:val="0"/>
      <w:pBdr>
        <w:bottom w:val="none" w:sz="0" w:space="0" w:color="auto"/>
      </w:pBdr>
      <w:tabs>
        <w:tab w:val="num" w:pos="252"/>
      </w:tabs>
      <w:spacing w:before="240" w:after="120" w:line="240" w:lineRule="auto"/>
      <w:ind w:left="1134" w:hanging="1134"/>
      <w:jc w:val="both"/>
    </w:pPr>
    <w:rPr>
      <w:rFonts w:ascii="Calibri" w:eastAsiaTheme="minorHAnsi" w:hAnsi="Calibri" w:cs="Arial"/>
      <w:color w:val="7F7E82"/>
      <w:szCs w:val="26"/>
      <w14:textFill>
        <w14:solidFill>
          <w14:srgbClr w14:val="7F7E82">
            <w14:lumMod w14:val="75000"/>
            <w14:lumOff w14:val="25000"/>
          </w14:srgbClr>
        </w14:solidFill>
      </w14:textFill>
    </w:rPr>
  </w:style>
  <w:style w:type="paragraph" w:customStyle="1" w:styleId="NumberedHeading4">
    <w:name w:val="Numbered Heading 4"/>
    <w:basedOn w:val="Heading4"/>
    <w:rsid w:val="00047AB8"/>
    <w:pPr>
      <w:keepLines w:val="0"/>
      <w:tabs>
        <w:tab w:val="num" w:pos="252"/>
      </w:tabs>
      <w:spacing w:before="240" w:after="60" w:line="240" w:lineRule="auto"/>
      <w:ind w:left="1134" w:hanging="1134"/>
      <w:jc w:val="both"/>
    </w:pPr>
    <w:rPr>
      <w:rFonts w:asciiTheme="minorHAnsi" w:eastAsia="Times New Roman" w:hAnsiTheme="minorHAnsi" w:cs="Times New Roman"/>
      <w:b/>
      <w:bCs/>
      <w:i w:val="0"/>
      <w:iCs w:val="0"/>
      <w:color w:val="auto"/>
      <w:sz w:val="22"/>
      <w:szCs w:val="28"/>
    </w:rPr>
  </w:style>
  <w:style w:type="paragraph" w:customStyle="1" w:styleId="NumberedHeading5">
    <w:name w:val="Numbered Heading 5"/>
    <w:basedOn w:val="Heading5"/>
    <w:rsid w:val="00047AB8"/>
    <w:pPr>
      <w:keepNext w:val="0"/>
      <w:keepLines w:val="0"/>
      <w:tabs>
        <w:tab w:val="num" w:pos="252"/>
      </w:tabs>
      <w:spacing w:before="240" w:after="60" w:line="240" w:lineRule="auto"/>
      <w:ind w:left="1134" w:hanging="1134"/>
      <w:jc w:val="both"/>
    </w:pPr>
    <w:rPr>
      <w:rFonts w:asciiTheme="minorHAnsi" w:eastAsia="Times New Roman" w:hAnsiTheme="minorHAnsi" w:cs="Times New Roman"/>
      <w:bCs/>
      <w:i/>
      <w:iCs/>
      <w:color w:val="auto"/>
      <w:sz w:val="22"/>
      <w:szCs w:val="26"/>
    </w:rPr>
  </w:style>
  <w:style w:type="paragraph" w:styleId="TableofFigures">
    <w:name w:val="table of figures"/>
    <w:basedOn w:val="Normal"/>
    <w:next w:val="Normal"/>
    <w:uiPriority w:val="99"/>
    <w:unhideWhenUsed/>
    <w:rsid w:val="00047AB8"/>
    <w:pPr>
      <w:spacing w:after="0"/>
    </w:pPr>
    <w:rPr>
      <w:rFonts w:asciiTheme="minorHAnsi" w:hAnsiTheme="minorHAnsi" w:cs="Times New Roman"/>
      <w:sz w:val="21"/>
      <w:szCs w:val="21"/>
    </w:rPr>
  </w:style>
  <w:style w:type="paragraph" w:customStyle="1" w:styleId="EYBulletedtext1">
    <w:name w:val="EY Bulleted text 1"/>
    <w:basedOn w:val="Normal"/>
    <w:rsid w:val="00047AB8"/>
    <w:pPr>
      <w:numPr>
        <w:numId w:val="4"/>
      </w:numPr>
      <w:suppressAutoHyphens/>
      <w:spacing w:after="240" w:line="240" w:lineRule="auto"/>
      <w:jc w:val="both"/>
    </w:pPr>
    <w:rPr>
      <w:rFonts w:ascii="EYInterstate" w:eastAsia="Times New Roman" w:hAnsi="EYInterstate" w:cs="Times New Roman"/>
      <w:kern w:val="12"/>
      <w:sz w:val="22"/>
      <w:szCs w:val="24"/>
      <w:lang w:val="en-GB"/>
    </w:rPr>
  </w:style>
  <w:style w:type="paragraph" w:customStyle="1" w:styleId="EYBulletedtext2">
    <w:name w:val="EY Bulleted text 2"/>
    <w:basedOn w:val="Normal"/>
    <w:rsid w:val="00047AB8"/>
    <w:pPr>
      <w:numPr>
        <w:ilvl w:val="1"/>
        <w:numId w:val="4"/>
      </w:numPr>
      <w:suppressAutoHyphens/>
      <w:spacing w:after="240" w:line="240" w:lineRule="auto"/>
      <w:jc w:val="both"/>
    </w:pPr>
    <w:rPr>
      <w:rFonts w:ascii="EYInterstate" w:eastAsia="Times New Roman" w:hAnsi="EYInterstate" w:cs="Times New Roman"/>
      <w:kern w:val="12"/>
      <w:sz w:val="22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47AB8"/>
    <w:rPr>
      <w:color w:val="800080" w:themeColor="followedHyperlink"/>
      <w:u w:val="single"/>
    </w:rPr>
  </w:style>
  <w:style w:type="paragraph" w:customStyle="1" w:styleId="Bodyclause">
    <w:name w:val="Body  clause"/>
    <w:basedOn w:val="Normal"/>
    <w:next w:val="Normal"/>
    <w:rsid w:val="00047AB8"/>
    <w:pPr>
      <w:widowControl w:val="0"/>
      <w:tabs>
        <w:tab w:val="num" w:pos="720"/>
        <w:tab w:val="left" w:pos="1440"/>
        <w:tab w:val="left" w:pos="2160"/>
      </w:tabs>
      <w:overflowPunct w:val="0"/>
      <w:autoSpaceDE w:val="0"/>
      <w:autoSpaceDN w:val="0"/>
      <w:adjustRightInd w:val="0"/>
      <w:spacing w:after="0" w:line="240" w:lineRule="auto"/>
      <w:ind w:left="720" w:hanging="720"/>
      <w:jc w:val="both"/>
      <w:textAlignment w:val="baseline"/>
      <w:outlineLvl w:val="8"/>
    </w:pPr>
    <w:rPr>
      <w:rFonts w:ascii="EYInterstate Light" w:eastAsia="Times New Roman" w:hAnsi="EYInterstate Light" w:cs="Arial"/>
    </w:rPr>
  </w:style>
  <w:style w:type="paragraph" w:customStyle="1" w:styleId="Default">
    <w:name w:val="Default"/>
    <w:rsid w:val="00047A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numbering" w:customStyle="1" w:styleId="List-SoW">
    <w:name w:val="List - SoW"/>
    <w:uiPriority w:val="99"/>
    <w:rsid w:val="00353359"/>
    <w:pPr>
      <w:numPr>
        <w:numId w:val="5"/>
      </w:numPr>
    </w:pPr>
  </w:style>
  <w:style w:type="paragraph" w:customStyle="1" w:styleId="02-SoW-03-01-Lev1-Heading">
    <w:name w:val="02 - SoW - 03 - 01 - Lev 1 - Heading"/>
    <w:basedOn w:val="Normal"/>
    <w:next w:val="Normal"/>
    <w:qFormat/>
    <w:rsid w:val="00353359"/>
    <w:pPr>
      <w:numPr>
        <w:numId w:val="5"/>
      </w:numPr>
      <w:spacing w:before="120" w:after="120" w:line="240" w:lineRule="auto"/>
      <w:jc w:val="both"/>
      <w:outlineLvl w:val="0"/>
    </w:pPr>
    <w:rPr>
      <w:rFonts w:ascii="Arial" w:eastAsia="Times New Roman" w:hAnsi="Arial" w:cs="Arial"/>
      <w:b/>
      <w:caps/>
      <w:szCs w:val="20"/>
      <w:lang w:val="en-AU" w:eastAsia="en-AU"/>
    </w:rPr>
  </w:style>
  <w:style w:type="paragraph" w:customStyle="1" w:styleId="02-SoW-03-02-Lev2-Heading">
    <w:name w:val="02 - SoW - 03 - 02 - Lev 2 - Heading"/>
    <w:basedOn w:val="Normal"/>
    <w:next w:val="Normal"/>
    <w:qFormat/>
    <w:rsid w:val="004D7FF0"/>
    <w:pPr>
      <w:numPr>
        <w:ilvl w:val="1"/>
        <w:numId w:val="5"/>
      </w:numPr>
      <w:spacing w:before="120" w:after="120" w:line="240" w:lineRule="auto"/>
      <w:jc w:val="both"/>
      <w:outlineLvl w:val="1"/>
    </w:pPr>
    <w:rPr>
      <w:rFonts w:ascii="Arial" w:eastAsia="Times New Roman" w:hAnsi="Arial" w:cs="Arial"/>
      <w:b/>
      <w:szCs w:val="20"/>
      <w:lang w:val="en-AU" w:eastAsia="en-AU"/>
    </w:rPr>
  </w:style>
  <w:style w:type="paragraph" w:customStyle="1" w:styleId="02-SoW-03-03-Lev3-Heading">
    <w:name w:val="02 - SoW - 03 - 03 - Lev 3 - Heading"/>
    <w:basedOn w:val="Normal"/>
    <w:next w:val="Normal"/>
    <w:qFormat/>
    <w:rsid w:val="00353359"/>
    <w:pPr>
      <w:numPr>
        <w:ilvl w:val="2"/>
        <w:numId w:val="5"/>
      </w:numPr>
      <w:spacing w:before="120" w:after="120" w:line="240" w:lineRule="auto"/>
      <w:jc w:val="both"/>
      <w:outlineLvl w:val="2"/>
    </w:pPr>
    <w:rPr>
      <w:rFonts w:ascii="EYInterstate Light Bold" w:eastAsia="Times New Roman" w:hAnsi="EYInterstate Light Bold" w:cs="Arial"/>
      <w:b/>
      <w:szCs w:val="20"/>
      <w:u w:val="single"/>
      <w:lang w:val="en-AU" w:eastAsia="en-AU"/>
    </w:rPr>
  </w:style>
  <w:style w:type="paragraph" w:customStyle="1" w:styleId="02-SoW-03-05-Lev4-Section">
    <w:name w:val="02 - SoW - 03 - 05 - Lev 4 - Section"/>
    <w:basedOn w:val="Normal"/>
    <w:qFormat/>
    <w:rsid w:val="00353359"/>
    <w:pPr>
      <w:numPr>
        <w:ilvl w:val="3"/>
        <w:numId w:val="5"/>
      </w:numPr>
      <w:spacing w:before="120" w:after="120" w:line="240" w:lineRule="auto"/>
      <w:jc w:val="both"/>
      <w:outlineLvl w:val="3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6-Lev5-Section">
    <w:name w:val="02 - SoW - 03 - 06 - Lev 5 - Section"/>
    <w:basedOn w:val="Normal"/>
    <w:qFormat/>
    <w:rsid w:val="00353359"/>
    <w:pPr>
      <w:numPr>
        <w:ilvl w:val="4"/>
        <w:numId w:val="5"/>
      </w:numPr>
      <w:spacing w:before="120" w:after="120" w:line="240" w:lineRule="auto"/>
      <w:jc w:val="both"/>
      <w:outlineLvl w:val="4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7-Lev6-Section">
    <w:name w:val="02 - SoW - 03 - 07 - Lev 6 - Section"/>
    <w:basedOn w:val="Normal"/>
    <w:qFormat/>
    <w:rsid w:val="00353359"/>
    <w:pPr>
      <w:numPr>
        <w:ilvl w:val="5"/>
        <w:numId w:val="5"/>
      </w:numPr>
      <w:spacing w:before="120" w:after="120" w:line="240" w:lineRule="auto"/>
      <w:jc w:val="both"/>
      <w:outlineLvl w:val="5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8-Lev7-Section">
    <w:name w:val="02 - SoW - 03 - 08 - Lev 7 - Section"/>
    <w:basedOn w:val="Normal"/>
    <w:qFormat/>
    <w:rsid w:val="00353359"/>
    <w:pPr>
      <w:numPr>
        <w:ilvl w:val="6"/>
        <w:numId w:val="5"/>
      </w:numPr>
      <w:spacing w:before="120" w:after="120" w:line="240" w:lineRule="auto"/>
      <w:jc w:val="both"/>
      <w:outlineLvl w:val="6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9-Lev8-Section">
    <w:name w:val="02 - SoW - 03 - 09 - Lev 8 - Section"/>
    <w:basedOn w:val="Normal"/>
    <w:qFormat/>
    <w:rsid w:val="00353359"/>
    <w:pPr>
      <w:numPr>
        <w:ilvl w:val="7"/>
        <w:numId w:val="5"/>
      </w:numPr>
      <w:spacing w:before="120" w:after="120" w:line="240" w:lineRule="auto"/>
      <w:jc w:val="both"/>
      <w:outlineLvl w:val="7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10-Lev9-Section">
    <w:name w:val="02 - SoW - 03 - 10 - Lev 9 - Section"/>
    <w:basedOn w:val="Normal"/>
    <w:qFormat/>
    <w:rsid w:val="00353359"/>
    <w:pPr>
      <w:numPr>
        <w:ilvl w:val="8"/>
        <w:numId w:val="5"/>
      </w:numPr>
      <w:spacing w:before="120" w:after="120" w:line="240" w:lineRule="auto"/>
      <w:jc w:val="both"/>
      <w:outlineLvl w:val="8"/>
    </w:pPr>
    <w:rPr>
      <w:rFonts w:ascii="Arial" w:eastAsia="Times New Roman" w:hAnsi="Arial" w:cs="Arial"/>
      <w:szCs w:val="20"/>
      <w:lang w:val="en-AU" w:eastAsia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71929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71929"/>
    <w:rPr>
      <w:rFonts w:ascii="Verdana" w:hAnsi="Verdan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71929"/>
    <w:rPr>
      <w:vertAlign w:val="superscript"/>
    </w:rPr>
  </w:style>
  <w:style w:type="character" w:customStyle="1" w:styleId="ListParagraphChar">
    <w:name w:val="List Paragraph Char"/>
    <w:aliases w:val="Table text Char"/>
    <w:basedOn w:val="DefaultParagraphFont"/>
    <w:link w:val="ListParagraph"/>
    <w:uiPriority w:val="34"/>
    <w:rsid w:val="0027706B"/>
    <w:rPr>
      <w:rFonts w:ascii="Verdana" w:eastAsia="Times New Roman" w:hAnsi="Verdana" w:cs="Times New Roman"/>
      <w:sz w:val="20"/>
      <w:szCs w:val="24"/>
    </w:rPr>
  </w:style>
  <w:style w:type="paragraph" w:customStyle="1" w:styleId="VersionControlSub">
    <w:name w:val="Version Control Sub"/>
    <w:basedOn w:val="Normal"/>
    <w:link w:val="VersionControlSubChar"/>
    <w:qFormat/>
    <w:rsid w:val="0027706B"/>
    <w:pPr>
      <w:spacing w:before="60" w:after="120" w:line="240" w:lineRule="auto"/>
    </w:pPr>
    <w:rPr>
      <w:rFonts w:ascii="Arial" w:hAnsi="Arial"/>
      <w:b/>
      <w:i/>
    </w:rPr>
  </w:style>
  <w:style w:type="character" w:customStyle="1" w:styleId="VersionControlSubChar">
    <w:name w:val="Version Control Sub Char"/>
    <w:basedOn w:val="DefaultParagraphFont"/>
    <w:link w:val="VersionControlSub"/>
    <w:rsid w:val="0027706B"/>
    <w:rPr>
      <w:rFonts w:ascii="Arial" w:hAnsi="Arial"/>
      <w:b/>
      <w:i/>
      <w:sz w:val="20"/>
    </w:rPr>
  </w:style>
  <w:style w:type="paragraph" w:customStyle="1" w:styleId="VersionControl">
    <w:name w:val="Version Control"/>
    <w:basedOn w:val="ListParagraph"/>
    <w:link w:val="VersionControlChar"/>
    <w:qFormat/>
    <w:rsid w:val="0027706B"/>
    <w:pPr>
      <w:spacing w:before="60" w:after="120"/>
      <w:ind w:left="0"/>
      <w:contextualSpacing w:val="0"/>
    </w:pPr>
    <w:rPr>
      <w:rFonts w:ascii="Arial" w:eastAsiaTheme="minorHAnsi" w:hAnsi="Arial" w:cstheme="minorBidi"/>
      <w:b/>
      <w:sz w:val="24"/>
      <w:szCs w:val="22"/>
    </w:rPr>
  </w:style>
  <w:style w:type="character" w:customStyle="1" w:styleId="VersionControlChar">
    <w:name w:val="Version Control Char"/>
    <w:basedOn w:val="DefaultParagraphFont"/>
    <w:link w:val="VersionControl"/>
    <w:rsid w:val="0027706B"/>
    <w:rPr>
      <w:rFonts w:ascii="Arial" w:hAnsi="Arial"/>
      <w:b/>
      <w:sz w:val="24"/>
    </w:rPr>
  </w:style>
  <w:style w:type="paragraph" w:customStyle="1" w:styleId="EYSubheading">
    <w:name w:val="EY Subheading"/>
    <w:basedOn w:val="Normal"/>
    <w:next w:val="BodyText"/>
    <w:rsid w:val="001D3407"/>
    <w:pPr>
      <w:keepNext/>
      <w:spacing w:after="0" w:line="240" w:lineRule="atLeast"/>
      <w:outlineLvl w:val="0"/>
    </w:pPr>
    <w:rPr>
      <w:rFonts w:ascii="EYInterstate" w:eastAsia="Times New Roman" w:hAnsi="EYInterstate" w:cs="Times New Roman"/>
      <w:b/>
      <w:kern w:val="12"/>
      <w:sz w:val="18"/>
      <w:szCs w:val="24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1D34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D3407"/>
    <w:rPr>
      <w:rFonts w:ascii="Verdana" w:hAnsi="Verdana"/>
      <w:sz w:val="20"/>
    </w:rPr>
  </w:style>
  <w:style w:type="paragraph" w:customStyle="1" w:styleId="EYBodytextwithparaspace">
    <w:name w:val="EY Body text (with para space)"/>
    <w:basedOn w:val="Normal"/>
    <w:link w:val="EYBodytextwithparaspaceChar"/>
    <w:qFormat/>
    <w:rsid w:val="001C47C6"/>
    <w:pPr>
      <w:numPr>
        <w:ilvl w:val="4"/>
        <w:numId w:val="6"/>
      </w:numPr>
      <w:spacing w:after="240" w:line="240" w:lineRule="auto"/>
      <w:outlineLvl w:val="0"/>
    </w:pPr>
    <w:rPr>
      <w:rFonts w:ascii="EYInterstate Light" w:eastAsia="Times New Roman" w:hAnsi="EYInterstate Light" w:cs="Times New Roman"/>
      <w:kern w:val="12"/>
      <w:szCs w:val="24"/>
      <w:lang w:val="en-GB"/>
    </w:rPr>
  </w:style>
  <w:style w:type="paragraph" w:customStyle="1" w:styleId="EYbodytext">
    <w:name w:val="EY_body text"/>
    <w:basedOn w:val="Normal"/>
    <w:rsid w:val="001C47C6"/>
    <w:pPr>
      <w:keepNext/>
      <w:numPr>
        <w:ilvl w:val="1"/>
        <w:numId w:val="6"/>
      </w:numPr>
      <w:spacing w:after="120" w:line="240" w:lineRule="atLeast"/>
      <w:outlineLvl w:val="0"/>
    </w:pPr>
    <w:rPr>
      <w:rFonts w:ascii="EYInterstate Light" w:eastAsia="Times New Roman" w:hAnsi="EYInterstate Light" w:cs="Times New Roman"/>
      <w:kern w:val="12"/>
      <w:sz w:val="18"/>
      <w:szCs w:val="24"/>
      <w:lang w:val="en-GB"/>
    </w:rPr>
  </w:style>
  <w:style w:type="paragraph" w:customStyle="1" w:styleId="EYHeading1">
    <w:name w:val="EY Heading 1"/>
    <w:basedOn w:val="Normal"/>
    <w:next w:val="EYBodytextwithparaspace"/>
    <w:rsid w:val="001C47C6"/>
    <w:pPr>
      <w:numPr>
        <w:numId w:val="6"/>
      </w:numPr>
      <w:spacing w:after="360" w:line="240" w:lineRule="auto"/>
      <w:outlineLvl w:val="0"/>
    </w:pPr>
    <w:rPr>
      <w:rFonts w:ascii="EYInterstate" w:eastAsia="Times New Roman" w:hAnsi="EYInterstate" w:cs="Times New Roman"/>
      <w:color w:val="646464"/>
      <w:kern w:val="12"/>
      <w:sz w:val="40"/>
      <w:szCs w:val="24"/>
      <w:lang w:val="en-GB"/>
    </w:rPr>
  </w:style>
  <w:style w:type="numbering" w:customStyle="1" w:styleId="ParaNumbering">
    <w:name w:val="ParaNumbering"/>
    <w:basedOn w:val="NoList"/>
    <w:rsid w:val="001C47C6"/>
    <w:pPr>
      <w:numPr>
        <w:numId w:val="6"/>
      </w:numPr>
    </w:pPr>
  </w:style>
  <w:style w:type="character" w:customStyle="1" w:styleId="EYBodytextwithparaspaceChar">
    <w:name w:val="EY Body text (with para space) Char"/>
    <w:basedOn w:val="DefaultParagraphFont"/>
    <w:link w:val="EYBodytextwithparaspace"/>
    <w:rsid w:val="001C47C6"/>
    <w:rPr>
      <w:rFonts w:ascii="EYInterstate Light" w:eastAsia="Times New Roman" w:hAnsi="EYInterstate Light" w:cs="Times New Roman"/>
      <w:kern w:val="12"/>
      <w:sz w:val="20"/>
      <w:szCs w:val="24"/>
      <w:lang w:val="en-GB"/>
    </w:rPr>
  </w:style>
  <w:style w:type="paragraph" w:customStyle="1" w:styleId="02-SoW-03-04-Lev4-Section-Indent">
    <w:name w:val="02 - SoW - 03 - 04 - Lev 4 - Section - Indent"/>
    <w:basedOn w:val="Normal"/>
    <w:rsid w:val="004D7FF0"/>
    <w:pPr>
      <w:spacing w:before="120" w:after="120" w:line="240" w:lineRule="auto"/>
      <w:ind w:left="720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1-Lev1-Heading">
    <w:name w:val="02.1 - SoW - Schedule - 01 - Lev 1 - Heading"/>
    <w:basedOn w:val="Normal"/>
    <w:rsid w:val="004D7FF0"/>
    <w:pPr>
      <w:numPr>
        <w:numId w:val="7"/>
      </w:numPr>
      <w:spacing w:before="120" w:after="120" w:line="240" w:lineRule="auto"/>
      <w:jc w:val="both"/>
    </w:pPr>
    <w:rPr>
      <w:rFonts w:ascii="Arial" w:hAnsi="Arial" w:cs="Arial"/>
      <w:b/>
      <w:bCs/>
      <w:caps/>
      <w:szCs w:val="20"/>
      <w:lang w:val="en-IN" w:eastAsia="en-AU"/>
    </w:rPr>
  </w:style>
  <w:style w:type="paragraph" w:customStyle="1" w:styleId="021-SoW-Schedule-02-Lev2-Heading">
    <w:name w:val="02.1 - SoW - Schedule - 02 - Lev 2 - Heading"/>
    <w:basedOn w:val="Normal"/>
    <w:rsid w:val="004D7FF0"/>
    <w:pPr>
      <w:numPr>
        <w:ilvl w:val="1"/>
        <w:numId w:val="7"/>
      </w:numPr>
      <w:spacing w:before="120" w:after="120" w:line="240" w:lineRule="auto"/>
      <w:jc w:val="both"/>
    </w:pPr>
    <w:rPr>
      <w:rFonts w:ascii="Arial" w:hAnsi="Arial" w:cs="Arial"/>
      <w:b/>
      <w:bCs/>
      <w:szCs w:val="20"/>
      <w:lang w:val="en-IN" w:eastAsia="en-AU"/>
    </w:rPr>
  </w:style>
  <w:style w:type="paragraph" w:customStyle="1" w:styleId="021-SoW-Schedule-03-Lev3-Heading">
    <w:name w:val="02.1 - SoW - Schedule - 03 - Lev 3 - Heading"/>
    <w:basedOn w:val="Normal"/>
    <w:rsid w:val="004D7FF0"/>
    <w:pPr>
      <w:numPr>
        <w:ilvl w:val="2"/>
        <w:numId w:val="7"/>
      </w:numPr>
      <w:spacing w:before="120" w:after="120" w:line="240" w:lineRule="auto"/>
      <w:jc w:val="both"/>
    </w:pPr>
    <w:rPr>
      <w:rFonts w:ascii="Arial" w:hAnsi="Arial" w:cs="Arial"/>
      <w:b/>
      <w:bCs/>
      <w:szCs w:val="20"/>
      <w:u w:val="single"/>
      <w:lang w:val="en-IN" w:eastAsia="en-AU"/>
    </w:rPr>
  </w:style>
  <w:style w:type="paragraph" w:customStyle="1" w:styleId="021-SoW-Schedule-05-Lev4-Section">
    <w:name w:val="02.1 - SoW - Schedule - 05 - Lev 4 - Section"/>
    <w:basedOn w:val="Normal"/>
    <w:rsid w:val="004D7FF0"/>
    <w:pPr>
      <w:numPr>
        <w:ilvl w:val="3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6-Lev5-Section">
    <w:name w:val="02.1 - SoW - Schedule - 06 - Lev 5 - Section"/>
    <w:basedOn w:val="Normal"/>
    <w:rsid w:val="004D7FF0"/>
    <w:pPr>
      <w:numPr>
        <w:ilvl w:val="4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7-Lev6-Section">
    <w:name w:val="02.1 - SoW - Schedule - 07 - Lev 6 - Section"/>
    <w:basedOn w:val="Normal"/>
    <w:rsid w:val="004D7FF0"/>
    <w:pPr>
      <w:numPr>
        <w:ilvl w:val="5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8-Lev7-Section">
    <w:name w:val="02.1 - SoW - Schedule - 08 - Lev 7 - Section"/>
    <w:basedOn w:val="Normal"/>
    <w:rsid w:val="004D7FF0"/>
    <w:pPr>
      <w:numPr>
        <w:ilvl w:val="6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9-Lev8-Section">
    <w:name w:val="02.1 - SoW - Schedule - 09 - Lev 8 - Section"/>
    <w:basedOn w:val="Normal"/>
    <w:rsid w:val="004D7FF0"/>
    <w:pPr>
      <w:numPr>
        <w:ilvl w:val="7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10-Lev9-Section">
    <w:name w:val="02.1 - SoW - Schedule - 10 - Lev 9 - Section"/>
    <w:basedOn w:val="Normal"/>
    <w:rsid w:val="004D7FF0"/>
    <w:pPr>
      <w:numPr>
        <w:ilvl w:val="8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character" w:customStyle="1" w:styleId="0-00-01-NormalBold">
    <w:name w:val="0 - 00 - 01 - Normal Bold"/>
    <w:basedOn w:val="DefaultParagraphFont"/>
    <w:uiPriority w:val="1"/>
    <w:rsid w:val="004D7FF0"/>
    <w:rPr>
      <w:b/>
      <w:bCs/>
      <w:lang w:eastAsia="en-US"/>
    </w:rPr>
  </w:style>
  <w:style w:type="numbering" w:customStyle="1" w:styleId="List-SoWSchedule">
    <w:name w:val="List - SoW Schedule"/>
    <w:uiPriority w:val="99"/>
    <w:rsid w:val="004D7FF0"/>
    <w:pPr>
      <w:numPr>
        <w:numId w:val="7"/>
      </w:numPr>
    </w:pPr>
  </w:style>
  <w:style w:type="paragraph" w:customStyle="1" w:styleId="Style1">
    <w:name w:val="Style1"/>
    <w:basedOn w:val="Normal"/>
    <w:link w:val="Style1Char"/>
    <w:qFormat/>
    <w:rsid w:val="004D7FF0"/>
    <w:pPr>
      <w:spacing w:after="120" w:line="240" w:lineRule="auto"/>
      <w:ind w:left="851" w:hanging="851"/>
      <w:outlineLvl w:val="1"/>
    </w:pPr>
    <w:rPr>
      <w:rFonts w:ascii="EYInterstate" w:eastAsia="Times New Roman" w:hAnsi="EYInterstate" w:cs="Times New Roman"/>
      <w:color w:val="808080"/>
      <w:sz w:val="28"/>
      <w:szCs w:val="24"/>
    </w:rPr>
  </w:style>
  <w:style w:type="character" w:customStyle="1" w:styleId="Style1Char">
    <w:name w:val="Style1 Char"/>
    <w:basedOn w:val="DefaultParagraphFont"/>
    <w:link w:val="Style1"/>
    <w:rsid w:val="004D7FF0"/>
    <w:rPr>
      <w:rFonts w:ascii="EYInterstate" w:eastAsia="Times New Roman" w:hAnsi="EYInterstate" w:cs="Times New Roman"/>
      <w:color w:val="808080"/>
      <w:sz w:val="28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142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qFormat/>
    <w:rsid w:val="00AB7E6E"/>
    <w:pPr>
      <w:keepNext/>
      <w:keepLines/>
      <w:shd w:val="clear" w:color="auto" w:fill="EEECE1" w:themeFill="background2"/>
      <w:spacing w:before="480" w:after="0"/>
      <w:outlineLvl w:val="0"/>
    </w:pPr>
    <w:rPr>
      <w:rFonts w:eastAsiaTheme="majorEastAsia" w:cstheme="majorBidi"/>
      <w:b/>
      <w:bCs/>
      <w:color w:val="595959" w:themeColor="text1" w:themeTint="A6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4D7FF0"/>
    <w:pPr>
      <w:keepNext/>
      <w:keepLines/>
      <w:pBdr>
        <w:bottom w:val="single" w:sz="8" w:space="1" w:color="auto"/>
      </w:pBdr>
      <w:spacing w:before="200" w:after="0"/>
      <w:outlineLvl w:val="1"/>
    </w:pPr>
    <w:rPr>
      <w:rFonts w:ascii="Arial" w:eastAsiaTheme="majorEastAsia" w:hAnsi="Arial" w:cstheme="majorBidi"/>
      <w:b/>
      <w:bCs/>
      <w:color w:val="595959" w:themeColor="text1" w:themeTint="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0656"/>
    <w:pPr>
      <w:keepNext/>
      <w:keepLines/>
      <w:pBdr>
        <w:bottom w:val="single" w:sz="4" w:space="1" w:color="auto"/>
      </w:pBdr>
      <w:spacing w:before="200" w:after="0"/>
      <w:outlineLvl w:val="2"/>
    </w:pPr>
    <w:rPr>
      <w:rFonts w:eastAsiaTheme="majorEastAsia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7E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7E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B7E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B7E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B7E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B7E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2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Table text"/>
    <w:basedOn w:val="Normal"/>
    <w:link w:val="ListParagraphChar"/>
    <w:uiPriority w:val="34"/>
    <w:qFormat/>
    <w:rsid w:val="00A61228"/>
    <w:pPr>
      <w:spacing w:after="0" w:line="240" w:lineRule="auto"/>
      <w:ind w:left="720"/>
      <w:contextualSpacing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59"/>
    <w:rsid w:val="00F02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05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073"/>
  </w:style>
  <w:style w:type="paragraph" w:styleId="Footer">
    <w:name w:val="footer"/>
    <w:basedOn w:val="Normal"/>
    <w:link w:val="FooterChar"/>
    <w:uiPriority w:val="99"/>
    <w:unhideWhenUsed/>
    <w:rsid w:val="00D05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073"/>
  </w:style>
  <w:style w:type="paragraph" w:styleId="NoSpacing">
    <w:name w:val="No Spacing"/>
    <w:link w:val="NoSpacingChar"/>
    <w:uiPriority w:val="1"/>
    <w:qFormat/>
    <w:rsid w:val="00964B66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64B66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4B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B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7E6E"/>
    <w:rPr>
      <w:rFonts w:ascii="Verdana" w:eastAsiaTheme="majorEastAsia" w:hAnsi="Verdana" w:cstheme="majorBidi"/>
      <w:b/>
      <w:bCs/>
      <w:color w:val="595959" w:themeColor="text1" w:themeTint="A6"/>
      <w:sz w:val="28"/>
      <w:szCs w:val="28"/>
      <w:shd w:val="clear" w:color="auto" w:fill="EEECE1" w:themeFill="background2"/>
    </w:rPr>
  </w:style>
  <w:style w:type="paragraph" w:styleId="TOCHeading">
    <w:name w:val="TOC Heading"/>
    <w:basedOn w:val="Heading1"/>
    <w:next w:val="Normal"/>
    <w:uiPriority w:val="39"/>
    <w:unhideWhenUsed/>
    <w:qFormat/>
    <w:rsid w:val="00B55CEA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51D88"/>
    <w:pPr>
      <w:spacing w:before="120" w:after="120"/>
    </w:pPr>
    <w:rPr>
      <w:rFonts w:asciiTheme="minorHAnsi" w:hAnsiTheme="minorHAnsi" w:cstheme="minorHAnsi"/>
      <w:b/>
      <w:bCs/>
      <w:caps/>
      <w:szCs w:val="20"/>
    </w:rPr>
  </w:style>
  <w:style w:type="character" w:styleId="Hyperlink">
    <w:name w:val="Hyperlink"/>
    <w:basedOn w:val="DefaultParagraphFont"/>
    <w:uiPriority w:val="99"/>
    <w:unhideWhenUsed/>
    <w:rsid w:val="00B55CEA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4D7FF0"/>
    <w:rPr>
      <w:rFonts w:ascii="Arial" w:eastAsiaTheme="majorEastAsia" w:hAnsi="Arial" w:cstheme="majorBidi"/>
      <w:b/>
      <w:bCs/>
      <w:color w:val="595959" w:themeColor="text1" w:themeTint="A6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16326"/>
    <w:pPr>
      <w:spacing w:after="0"/>
      <w:ind w:left="200"/>
    </w:pPr>
    <w:rPr>
      <w:rFonts w:asciiTheme="minorHAnsi" w:hAnsiTheme="minorHAnsi"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30C0C"/>
    <w:pPr>
      <w:spacing w:after="0"/>
      <w:ind w:left="400"/>
    </w:pPr>
    <w:rPr>
      <w:rFonts w:asciiTheme="minorHAnsi" w:hAnsiTheme="minorHAnsi" w:cstheme="minorHAnsi"/>
      <w:i/>
      <w:iCs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00656"/>
    <w:rPr>
      <w:rFonts w:ascii="Verdana" w:eastAsiaTheme="majorEastAsia" w:hAnsi="Verdana" w:cstheme="majorBidi"/>
      <w:b/>
      <w:bCs/>
      <w:color w:val="4F81BD" w:themeColor="accent1"/>
      <w:sz w:val="24"/>
    </w:rPr>
  </w:style>
  <w:style w:type="table" w:customStyle="1" w:styleId="TableGrid1">
    <w:name w:val="Table Grid1"/>
    <w:basedOn w:val="TableNormal"/>
    <w:next w:val="TableGrid"/>
    <w:uiPriority w:val="39"/>
    <w:rsid w:val="00C14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AB7E6E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B7E6E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rsid w:val="00AB7E6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rsid w:val="00AB7E6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rsid w:val="00AB7E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rsid w:val="00AB7E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umberedHeading1">
    <w:name w:val="NumberedHeading 1"/>
    <w:basedOn w:val="Heading1"/>
    <w:link w:val="NumberedHeading1Char"/>
    <w:rsid w:val="00047AB8"/>
    <w:pPr>
      <w:numPr>
        <w:numId w:val="1"/>
      </w:numPr>
      <w:shd w:val="solid" w:color="7F7F7F" w:themeColor="text1" w:themeTint="80" w:fill="7F7F7F" w:themeFill="text1" w:themeFillTint="80"/>
      <w:spacing w:before="240" w:after="240"/>
    </w:pPr>
    <w:rPr>
      <w:color w:val="FFFFFF" w:themeColor="background1"/>
    </w:rPr>
  </w:style>
  <w:style w:type="character" w:customStyle="1" w:styleId="NumberedHeading1Char">
    <w:name w:val="NumberedHeading 1 Char"/>
    <w:basedOn w:val="Heading1Char"/>
    <w:link w:val="NumberedHeading1"/>
    <w:rsid w:val="00047AB8"/>
    <w:rPr>
      <w:rFonts w:ascii="Verdana" w:eastAsiaTheme="majorEastAsia" w:hAnsi="Verdana" w:cstheme="majorBidi"/>
      <w:b/>
      <w:bCs/>
      <w:color w:val="FFFFFF" w:themeColor="background1"/>
      <w:sz w:val="28"/>
      <w:szCs w:val="28"/>
      <w:shd w:val="solid" w:color="7F7F7F" w:themeColor="text1" w:themeTint="80" w:fill="7F7F7F" w:themeFill="text1" w:themeFillTint="80"/>
    </w:rPr>
  </w:style>
  <w:style w:type="paragraph" w:customStyle="1" w:styleId="NumberedHeading2">
    <w:name w:val="NumberedHeading 2"/>
    <w:basedOn w:val="Heading2"/>
    <w:link w:val="NumberedHeading2Char"/>
    <w:rsid w:val="00047AB8"/>
    <w:pPr>
      <w:numPr>
        <w:numId w:val="2"/>
      </w:numPr>
      <w:pBdr>
        <w:bottom w:val="double" w:sz="4" w:space="1" w:color="auto"/>
      </w:pBdr>
      <w:spacing w:before="240" w:after="240"/>
    </w:pPr>
    <w:rPr>
      <w:color w:val="404040" w:themeColor="text1" w:themeTint="BF"/>
      <w:lang w:val="en-GB"/>
    </w:rPr>
  </w:style>
  <w:style w:type="paragraph" w:customStyle="1" w:styleId="NumberedHeading3">
    <w:name w:val="NumberedHeading 3"/>
    <w:basedOn w:val="Heading3"/>
    <w:link w:val="NumberedHeading3Char"/>
    <w:rsid w:val="00047AB8"/>
    <w:pPr>
      <w:numPr>
        <w:numId w:val="3"/>
      </w:numPr>
      <w:spacing w:before="240" w:after="120" w:line="240" w:lineRule="auto"/>
    </w:pPr>
    <w:rPr>
      <w:color w:val="000000" w:themeColor="text1"/>
      <w:szCs w:val="21"/>
      <w:lang w:val="en-GB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character" w:customStyle="1" w:styleId="NumberedHeading2Char">
    <w:name w:val="NumberedHeading 2 Char"/>
    <w:basedOn w:val="Heading2Char"/>
    <w:link w:val="NumberedHeading2"/>
    <w:rsid w:val="00047AB8"/>
    <w:rPr>
      <w:rFonts w:ascii="Arial" w:eastAsiaTheme="majorEastAsia" w:hAnsi="Arial" w:cstheme="majorBidi"/>
      <w:b/>
      <w:bCs/>
      <w:color w:val="404040" w:themeColor="text1" w:themeTint="BF"/>
      <w:sz w:val="26"/>
      <w:szCs w:val="26"/>
      <w:lang w:val="en-GB"/>
    </w:rPr>
  </w:style>
  <w:style w:type="character" w:customStyle="1" w:styleId="NumberedHeading3Char">
    <w:name w:val="NumberedHeading 3 Char"/>
    <w:basedOn w:val="Heading3Char"/>
    <w:link w:val="NumberedHeading3"/>
    <w:rsid w:val="00047AB8"/>
    <w:rPr>
      <w:rFonts w:ascii="Verdana" w:eastAsiaTheme="majorEastAsia" w:hAnsi="Verdana" w:cstheme="majorBidi"/>
      <w:b/>
      <w:bCs/>
      <w:color w:val="000000" w:themeColor="text1"/>
      <w:sz w:val="24"/>
      <w:szCs w:val="21"/>
      <w:lang w:val="en-GB"/>
      <w14:textFill>
        <w14:solidFill>
          <w14:schemeClr w14:val="tx1">
            <w14:lumMod w14:val="85000"/>
            <w14:lumOff w14:val="15000"/>
            <w14:lumMod w14:val="75000"/>
            <w14:lumOff w14:val="25000"/>
          </w14:schemeClr>
        </w14:solidFill>
      </w14:textFill>
    </w:rPr>
  </w:style>
  <w:style w:type="paragraph" w:customStyle="1" w:styleId="C698FFA612904E94AE58900D62BE995D">
    <w:name w:val="C698FFA612904E94AE58900D62BE995D"/>
    <w:rsid w:val="00047AB8"/>
    <w:rPr>
      <w:rFonts w:eastAsiaTheme="minorEastAsia"/>
    </w:rPr>
  </w:style>
  <w:style w:type="paragraph" w:styleId="FootnoteText">
    <w:name w:val="footnote text"/>
    <w:aliases w:val="fn,FT,ft"/>
    <w:basedOn w:val="Normal"/>
    <w:link w:val="FootnoteTextChar"/>
    <w:uiPriority w:val="99"/>
    <w:semiHidden/>
    <w:unhideWhenUsed/>
    <w:rsid w:val="00047AB8"/>
    <w:pPr>
      <w:spacing w:after="0" w:line="240" w:lineRule="auto"/>
    </w:pPr>
    <w:rPr>
      <w:rFonts w:asciiTheme="minorHAnsi" w:hAnsiTheme="minorHAnsi" w:cs="Times New Roman"/>
      <w:szCs w:val="20"/>
    </w:rPr>
  </w:style>
  <w:style w:type="character" w:customStyle="1" w:styleId="FootnoteTextChar">
    <w:name w:val="Footnote Text Char"/>
    <w:aliases w:val="fn Char,FT Char,ft Char"/>
    <w:basedOn w:val="DefaultParagraphFont"/>
    <w:link w:val="FootnoteText"/>
    <w:uiPriority w:val="99"/>
    <w:rsid w:val="00047AB8"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7AB8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47AB8"/>
    <w:pPr>
      <w:spacing w:line="240" w:lineRule="auto"/>
    </w:pPr>
    <w:rPr>
      <w:rFonts w:asciiTheme="minorHAnsi" w:hAnsiTheme="minorHAnsi" w:cs="Times New Roman"/>
      <w:bCs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47AB8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47A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7AB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47A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7AB8"/>
    <w:pPr>
      <w:spacing w:line="240" w:lineRule="auto"/>
    </w:pPr>
    <w:rPr>
      <w:rFonts w:asciiTheme="minorHAnsi" w:hAnsiTheme="minorHAnsi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7AB8"/>
    <w:rPr>
      <w:rFonts w:cs="Times New Roman"/>
      <w:sz w:val="20"/>
      <w:szCs w:val="20"/>
    </w:rPr>
  </w:style>
  <w:style w:type="paragraph" w:styleId="Revision">
    <w:name w:val="Revision"/>
    <w:hidden/>
    <w:uiPriority w:val="99"/>
    <w:semiHidden/>
    <w:rsid w:val="00047AB8"/>
    <w:pPr>
      <w:spacing w:after="0" w:line="240" w:lineRule="auto"/>
    </w:pPr>
    <w:rPr>
      <w:rFonts w:ascii="EYInterstate" w:hAnsi="EYInterstate" w:cs="Times New Roman"/>
      <w:sz w:val="21"/>
      <w:szCs w:val="21"/>
    </w:rPr>
  </w:style>
  <w:style w:type="table" w:customStyle="1" w:styleId="LightList1">
    <w:name w:val="Light List1"/>
    <w:basedOn w:val="TableNormal"/>
    <w:uiPriority w:val="61"/>
    <w:rsid w:val="00047AB8"/>
    <w:pPr>
      <w:spacing w:after="0" w:line="240" w:lineRule="auto"/>
    </w:pPr>
    <w:rPr>
      <w:rFonts w:ascii="EYInterstate" w:hAnsi="EYInterstate" w:cs="Times New Roman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047AB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47AB8"/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72"/>
      <w:szCs w:val="5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7A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7AB8"/>
    <w:rPr>
      <w:rFonts w:cs="Times New Roman"/>
      <w:b/>
      <w:b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47AB8"/>
    <w:pPr>
      <w:spacing w:after="0"/>
      <w:ind w:left="60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7AB8"/>
    <w:pPr>
      <w:spacing w:after="0"/>
      <w:ind w:left="80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7AB8"/>
    <w:pPr>
      <w:spacing w:after="0"/>
      <w:ind w:left="10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7AB8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7AB8"/>
    <w:pPr>
      <w:spacing w:after="0"/>
      <w:ind w:left="140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7AB8"/>
    <w:pPr>
      <w:spacing w:after="0"/>
      <w:ind w:left="1600"/>
    </w:pPr>
    <w:rPr>
      <w:rFonts w:asciiTheme="minorHAnsi" w:hAnsiTheme="minorHAnsi" w:cstheme="minorHAnsi"/>
      <w:sz w:val="18"/>
      <w:szCs w:val="18"/>
    </w:rPr>
  </w:style>
  <w:style w:type="table" w:styleId="LightShading-Accent6">
    <w:name w:val="Light Shading Accent 6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E36C0A" w:themeColor="accent6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Shading1">
    <w:name w:val="Light Shading1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000000" w:themeColor="tex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2">
    <w:name w:val="Light Shading2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000000" w:themeColor="tex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365F91" w:themeColor="accen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2">
    <w:name w:val="Light Shading - Accent 12"/>
    <w:basedOn w:val="TableNormal"/>
    <w:uiPriority w:val="60"/>
    <w:rsid w:val="00047AB8"/>
    <w:pPr>
      <w:spacing w:after="0" w:line="240" w:lineRule="auto"/>
    </w:pPr>
    <w:rPr>
      <w:rFonts w:ascii="EYInterstate" w:hAnsi="EYInterstate" w:cs="Times New Roman"/>
      <w:color w:val="365F91" w:themeColor="accent1" w:themeShade="BF"/>
      <w:sz w:val="21"/>
      <w:szCs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Bodycopy">
    <w:name w:val="Body copy"/>
    <w:basedOn w:val="Normal"/>
    <w:qFormat/>
    <w:rsid w:val="00047AB8"/>
    <w:pPr>
      <w:spacing w:before="120" w:after="240"/>
      <w:jc w:val="both"/>
    </w:pPr>
    <w:rPr>
      <w:rFonts w:asciiTheme="minorHAnsi" w:eastAsia="Times New Roman" w:hAnsiTheme="minorHAnsi" w:cs="Times New Roman"/>
      <w:color w:val="000000"/>
      <w:sz w:val="22"/>
      <w:lang w:val="en-GB"/>
    </w:rPr>
  </w:style>
  <w:style w:type="paragraph" w:customStyle="1" w:styleId="NumberedHeading10">
    <w:name w:val="Numbered Heading 1"/>
    <w:basedOn w:val="Heading1"/>
    <w:rsid w:val="00047AB8"/>
    <w:pPr>
      <w:keepNext w:val="0"/>
      <w:keepLines w:val="0"/>
      <w:shd w:val="clear" w:color="auto" w:fill="auto"/>
      <w:tabs>
        <w:tab w:val="num" w:pos="252"/>
      </w:tabs>
      <w:spacing w:before="0" w:after="275" w:line="240" w:lineRule="auto"/>
      <w:ind w:left="1134" w:hanging="1134"/>
      <w:jc w:val="both"/>
    </w:pPr>
    <w:rPr>
      <w:rFonts w:asciiTheme="majorHAnsi" w:eastAsia="Times New Roman" w:hAnsiTheme="majorHAnsi" w:cs="Arial"/>
      <w:b w:val="0"/>
      <w:color w:val="7F7E82"/>
      <w:spacing w:val="-10"/>
      <w:kern w:val="32"/>
      <w:sz w:val="48"/>
      <w:szCs w:val="48"/>
      <w:lang w:val="en-GB"/>
    </w:rPr>
  </w:style>
  <w:style w:type="paragraph" w:customStyle="1" w:styleId="NumberedHeading20">
    <w:name w:val="Numbered Heading 2"/>
    <w:basedOn w:val="Heading2"/>
    <w:rsid w:val="00047AB8"/>
    <w:pPr>
      <w:keepNext w:val="0"/>
      <w:keepLines w:val="0"/>
      <w:pBdr>
        <w:bottom w:val="none" w:sz="0" w:space="0" w:color="auto"/>
      </w:pBdr>
      <w:tabs>
        <w:tab w:val="num" w:pos="252"/>
      </w:tabs>
      <w:spacing w:before="0" w:after="240" w:line="470" w:lineRule="exact"/>
      <w:ind w:left="1134" w:hanging="1134"/>
      <w:jc w:val="both"/>
    </w:pPr>
    <w:rPr>
      <w:rFonts w:asciiTheme="majorHAnsi" w:eastAsia="Times New Roman" w:hAnsiTheme="majorHAnsi" w:cs="Arial"/>
      <w:color w:val="auto"/>
      <w:spacing w:val="-10"/>
      <w:kern w:val="32"/>
      <w:sz w:val="28"/>
      <w:szCs w:val="28"/>
      <w:lang w:val="en-GB"/>
    </w:rPr>
  </w:style>
  <w:style w:type="paragraph" w:customStyle="1" w:styleId="NumberedHeading30">
    <w:name w:val="Numbered Heading 3"/>
    <w:basedOn w:val="Heading3"/>
    <w:rsid w:val="00047AB8"/>
    <w:pPr>
      <w:keepLines w:val="0"/>
      <w:pBdr>
        <w:bottom w:val="none" w:sz="0" w:space="0" w:color="auto"/>
      </w:pBdr>
      <w:tabs>
        <w:tab w:val="num" w:pos="252"/>
      </w:tabs>
      <w:spacing w:before="240" w:after="120" w:line="240" w:lineRule="auto"/>
      <w:ind w:left="1134" w:hanging="1134"/>
      <w:jc w:val="both"/>
    </w:pPr>
    <w:rPr>
      <w:rFonts w:ascii="Calibri" w:eastAsiaTheme="minorHAnsi" w:hAnsi="Calibri" w:cs="Arial"/>
      <w:color w:val="7F7E82"/>
      <w:szCs w:val="26"/>
      <w14:textFill>
        <w14:solidFill>
          <w14:srgbClr w14:val="7F7E82">
            <w14:lumMod w14:val="75000"/>
            <w14:lumOff w14:val="25000"/>
          </w14:srgbClr>
        </w14:solidFill>
      </w14:textFill>
    </w:rPr>
  </w:style>
  <w:style w:type="paragraph" w:customStyle="1" w:styleId="NumberedHeading4">
    <w:name w:val="Numbered Heading 4"/>
    <w:basedOn w:val="Heading4"/>
    <w:rsid w:val="00047AB8"/>
    <w:pPr>
      <w:keepLines w:val="0"/>
      <w:tabs>
        <w:tab w:val="num" w:pos="252"/>
      </w:tabs>
      <w:spacing w:before="240" w:after="60" w:line="240" w:lineRule="auto"/>
      <w:ind w:left="1134" w:hanging="1134"/>
      <w:jc w:val="both"/>
    </w:pPr>
    <w:rPr>
      <w:rFonts w:asciiTheme="minorHAnsi" w:eastAsia="Times New Roman" w:hAnsiTheme="minorHAnsi" w:cs="Times New Roman"/>
      <w:b/>
      <w:bCs/>
      <w:i w:val="0"/>
      <w:iCs w:val="0"/>
      <w:color w:val="auto"/>
      <w:sz w:val="22"/>
      <w:szCs w:val="28"/>
    </w:rPr>
  </w:style>
  <w:style w:type="paragraph" w:customStyle="1" w:styleId="NumberedHeading5">
    <w:name w:val="Numbered Heading 5"/>
    <w:basedOn w:val="Heading5"/>
    <w:rsid w:val="00047AB8"/>
    <w:pPr>
      <w:keepNext w:val="0"/>
      <w:keepLines w:val="0"/>
      <w:tabs>
        <w:tab w:val="num" w:pos="252"/>
      </w:tabs>
      <w:spacing w:before="240" w:after="60" w:line="240" w:lineRule="auto"/>
      <w:ind w:left="1134" w:hanging="1134"/>
      <w:jc w:val="both"/>
    </w:pPr>
    <w:rPr>
      <w:rFonts w:asciiTheme="minorHAnsi" w:eastAsia="Times New Roman" w:hAnsiTheme="minorHAnsi" w:cs="Times New Roman"/>
      <w:bCs/>
      <w:i/>
      <w:iCs/>
      <w:color w:val="auto"/>
      <w:sz w:val="22"/>
      <w:szCs w:val="26"/>
    </w:rPr>
  </w:style>
  <w:style w:type="paragraph" w:styleId="TableofFigures">
    <w:name w:val="table of figures"/>
    <w:basedOn w:val="Normal"/>
    <w:next w:val="Normal"/>
    <w:uiPriority w:val="99"/>
    <w:unhideWhenUsed/>
    <w:rsid w:val="00047AB8"/>
    <w:pPr>
      <w:spacing w:after="0"/>
    </w:pPr>
    <w:rPr>
      <w:rFonts w:asciiTheme="minorHAnsi" w:hAnsiTheme="minorHAnsi" w:cs="Times New Roman"/>
      <w:sz w:val="21"/>
      <w:szCs w:val="21"/>
    </w:rPr>
  </w:style>
  <w:style w:type="paragraph" w:customStyle="1" w:styleId="EYBulletedtext1">
    <w:name w:val="EY Bulleted text 1"/>
    <w:basedOn w:val="Normal"/>
    <w:rsid w:val="00047AB8"/>
    <w:pPr>
      <w:numPr>
        <w:numId w:val="4"/>
      </w:numPr>
      <w:suppressAutoHyphens/>
      <w:spacing w:after="240" w:line="240" w:lineRule="auto"/>
      <w:jc w:val="both"/>
    </w:pPr>
    <w:rPr>
      <w:rFonts w:ascii="EYInterstate" w:eastAsia="Times New Roman" w:hAnsi="EYInterstate" w:cs="Times New Roman"/>
      <w:kern w:val="12"/>
      <w:sz w:val="22"/>
      <w:szCs w:val="24"/>
      <w:lang w:val="en-GB"/>
    </w:rPr>
  </w:style>
  <w:style w:type="paragraph" w:customStyle="1" w:styleId="EYBulletedtext2">
    <w:name w:val="EY Bulleted text 2"/>
    <w:basedOn w:val="Normal"/>
    <w:rsid w:val="00047AB8"/>
    <w:pPr>
      <w:numPr>
        <w:ilvl w:val="1"/>
        <w:numId w:val="4"/>
      </w:numPr>
      <w:suppressAutoHyphens/>
      <w:spacing w:after="240" w:line="240" w:lineRule="auto"/>
      <w:jc w:val="both"/>
    </w:pPr>
    <w:rPr>
      <w:rFonts w:ascii="EYInterstate" w:eastAsia="Times New Roman" w:hAnsi="EYInterstate" w:cs="Times New Roman"/>
      <w:kern w:val="12"/>
      <w:sz w:val="22"/>
      <w:szCs w:val="24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47AB8"/>
    <w:rPr>
      <w:color w:val="800080" w:themeColor="followedHyperlink"/>
      <w:u w:val="single"/>
    </w:rPr>
  </w:style>
  <w:style w:type="paragraph" w:customStyle="1" w:styleId="Bodyclause">
    <w:name w:val="Body  clause"/>
    <w:basedOn w:val="Normal"/>
    <w:next w:val="Normal"/>
    <w:rsid w:val="00047AB8"/>
    <w:pPr>
      <w:widowControl w:val="0"/>
      <w:tabs>
        <w:tab w:val="num" w:pos="720"/>
        <w:tab w:val="left" w:pos="1440"/>
        <w:tab w:val="left" w:pos="2160"/>
      </w:tabs>
      <w:overflowPunct w:val="0"/>
      <w:autoSpaceDE w:val="0"/>
      <w:autoSpaceDN w:val="0"/>
      <w:adjustRightInd w:val="0"/>
      <w:spacing w:after="0" w:line="240" w:lineRule="auto"/>
      <w:ind w:left="720" w:hanging="720"/>
      <w:jc w:val="both"/>
      <w:textAlignment w:val="baseline"/>
      <w:outlineLvl w:val="8"/>
    </w:pPr>
    <w:rPr>
      <w:rFonts w:ascii="EYInterstate Light" w:eastAsia="Times New Roman" w:hAnsi="EYInterstate Light" w:cs="Arial"/>
    </w:rPr>
  </w:style>
  <w:style w:type="paragraph" w:customStyle="1" w:styleId="Default">
    <w:name w:val="Default"/>
    <w:rsid w:val="00047A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numbering" w:customStyle="1" w:styleId="List-SoW">
    <w:name w:val="List - SoW"/>
    <w:uiPriority w:val="99"/>
    <w:rsid w:val="00353359"/>
    <w:pPr>
      <w:numPr>
        <w:numId w:val="5"/>
      </w:numPr>
    </w:pPr>
  </w:style>
  <w:style w:type="paragraph" w:customStyle="1" w:styleId="02-SoW-03-01-Lev1-Heading">
    <w:name w:val="02 - SoW - 03 - 01 - Lev 1 - Heading"/>
    <w:basedOn w:val="Normal"/>
    <w:next w:val="Normal"/>
    <w:qFormat/>
    <w:rsid w:val="00353359"/>
    <w:pPr>
      <w:numPr>
        <w:numId w:val="5"/>
      </w:numPr>
      <w:spacing w:before="120" w:after="120" w:line="240" w:lineRule="auto"/>
      <w:jc w:val="both"/>
      <w:outlineLvl w:val="0"/>
    </w:pPr>
    <w:rPr>
      <w:rFonts w:ascii="Arial" w:eastAsia="Times New Roman" w:hAnsi="Arial" w:cs="Arial"/>
      <w:b/>
      <w:caps/>
      <w:szCs w:val="20"/>
      <w:lang w:val="en-AU" w:eastAsia="en-AU"/>
    </w:rPr>
  </w:style>
  <w:style w:type="paragraph" w:customStyle="1" w:styleId="02-SoW-03-02-Lev2-Heading">
    <w:name w:val="02 - SoW - 03 - 02 - Lev 2 - Heading"/>
    <w:basedOn w:val="Normal"/>
    <w:next w:val="Normal"/>
    <w:qFormat/>
    <w:rsid w:val="004D7FF0"/>
    <w:pPr>
      <w:numPr>
        <w:ilvl w:val="1"/>
        <w:numId w:val="5"/>
      </w:numPr>
      <w:spacing w:before="120" w:after="120" w:line="240" w:lineRule="auto"/>
      <w:jc w:val="both"/>
      <w:outlineLvl w:val="1"/>
    </w:pPr>
    <w:rPr>
      <w:rFonts w:ascii="Arial" w:eastAsia="Times New Roman" w:hAnsi="Arial" w:cs="Arial"/>
      <w:b/>
      <w:szCs w:val="20"/>
      <w:lang w:val="en-AU" w:eastAsia="en-AU"/>
    </w:rPr>
  </w:style>
  <w:style w:type="paragraph" w:customStyle="1" w:styleId="02-SoW-03-03-Lev3-Heading">
    <w:name w:val="02 - SoW - 03 - 03 - Lev 3 - Heading"/>
    <w:basedOn w:val="Normal"/>
    <w:next w:val="Normal"/>
    <w:qFormat/>
    <w:rsid w:val="00353359"/>
    <w:pPr>
      <w:numPr>
        <w:ilvl w:val="2"/>
        <w:numId w:val="5"/>
      </w:numPr>
      <w:spacing w:before="120" w:after="120" w:line="240" w:lineRule="auto"/>
      <w:jc w:val="both"/>
      <w:outlineLvl w:val="2"/>
    </w:pPr>
    <w:rPr>
      <w:rFonts w:ascii="EYInterstate Light Bold" w:eastAsia="Times New Roman" w:hAnsi="EYInterstate Light Bold" w:cs="Arial"/>
      <w:b/>
      <w:szCs w:val="20"/>
      <w:u w:val="single"/>
      <w:lang w:val="en-AU" w:eastAsia="en-AU"/>
    </w:rPr>
  </w:style>
  <w:style w:type="paragraph" w:customStyle="1" w:styleId="02-SoW-03-05-Lev4-Section">
    <w:name w:val="02 - SoW - 03 - 05 - Lev 4 - Section"/>
    <w:basedOn w:val="Normal"/>
    <w:qFormat/>
    <w:rsid w:val="00353359"/>
    <w:pPr>
      <w:numPr>
        <w:ilvl w:val="3"/>
        <w:numId w:val="5"/>
      </w:numPr>
      <w:spacing w:before="120" w:after="120" w:line="240" w:lineRule="auto"/>
      <w:jc w:val="both"/>
      <w:outlineLvl w:val="3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6-Lev5-Section">
    <w:name w:val="02 - SoW - 03 - 06 - Lev 5 - Section"/>
    <w:basedOn w:val="Normal"/>
    <w:qFormat/>
    <w:rsid w:val="00353359"/>
    <w:pPr>
      <w:numPr>
        <w:ilvl w:val="4"/>
        <w:numId w:val="5"/>
      </w:numPr>
      <w:spacing w:before="120" w:after="120" w:line="240" w:lineRule="auto"/>
      <w:jc w:val="both"/>
      <w:outlineLvl w:val="4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7-Lev6-Section">
    <w:name w:val="02 - SoW - 03 - 07 - Lev 6 - Section"/>
    <w:basedOn w:val="Normal"/>
    <w:qFormat/>
    <w:rsid w:val="00353359"/>
    <w:pPr>
      <w:numPr>
        <w:ilvl w:val="5"/>
        <w:numId w:val="5"/>
      </w:numPr>
      <w:spacing w:before="120" w:after="120" w:line="240" w:lineRule="auto"/>
      <w:jc w:val="both"/>
      <w:outlineLvl w:val="5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8-Lev7-Section">
    <w:name w:val="02 - SoW - 03 - 08 - Lev 7 - Section"/>
    <w:basedOn w:val="Normal"/>
    <w:qFormat/>
    <w:rsid w:val="00353359"/>
    <w:pPr>
      <w:numPr>
        <w:ilvl w:val="6"/>
        <w:numId w:val="5"/>
      </w:numPr>
      <w:spacing w:before="120" w:after="120" w:line="240" w:lineRule="auto"/>
      <w:jc w:val="both"/>
      <w:outlineLvl w:val="6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09-Lev8-Section">
    <w:name w:val="02 - SoW - 03 - 09 - Lev 8 - Section"/>
    <w:basedOn w:val="Normal"/>
    <w:qFormat/>
    <w:rsid w:val="00353359"/>
    <w:pPr>
      <w:numPr>
        <w:ilvl w:val="7"/>
        <w:numId w:val="5"/>
      </w:numPr>
      <w:spacing w:before="120" w:after="120" w:line="240" w:lineRule="auto"/>
      <w:jc w:val="both"/>
      <w:outlineLvl w:val="7"/>
    </w:pPr>
    <w:rPr>
      <w:rFonts w:ascii="Arial" w:eastAsia="Times New Roman" w:hAnsi="Arial" w:cs="Arial"/>
      <w:szCs w:val="20"/>
      <w:lang w:val="en-AU" w:eastAsia="en-AU"/>
    </w:rPr>
  </w:style>
  <w:style w:type="paragraph" w:customStyle="1" w:styleId="02-SoW-03-10-Lev9-Section">
    <w:name w:val="02 - SoW - 03 - 10 - Lev 9 - Section"/>
    <w:basedOn w:val="Normal"/>
    <w:qFormat/>
    <w:rsid w:val="00353359"/>
    <w:pPr>
      <w:numPr>
        <w:ilvl w:val="8"/>
        <w:numId w:val="5"/>
      </w:numPr>
      <w:spacing w:before="120" w:after="120" w:line="240" w:lineRule="auto"/>
      <w:jc w:val="both"/>
      <w:outlineLvl w:val="8"/>
    </w:pPr>
    <w:rPr>
      <w:rFonts w:ascii="Arial" w:eastAsia="Times New Roman" w:hAnsi="Arial" w:cs="Arial"/>
      <w:szCs w:val="20"/>
      <w:lang w:val="en-AU" w:eastAsia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71929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71929"/>
    <w:rPr>
      <w:rFonts w:ascii="Verdana" w:hAnsi="Verdan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71929"/>
    <w:rPr>
      <w:vertAlign w:val="superscript"/>
    </w:rPr>
  </w:style>
  <w:style w:type="character" w:customStyle="1" w:styleId="ListParagraphChar">
    <w:name w:val="List Paragraph Char"/>
    <w:aliases w:val="Table text Char"/>
    <w:basedOn w:val="DefaultParagraphFont"/>
    <w:link w:val="ListParagraph"/>
    <w:uiPriority w:val="34"/>
    <w:rsid w:val="0027706B"/>
    <w:rPr>
      <w:rFonts w:ascii="Verdana" w:eastAsia="Times New Roman" w:hAnsi="Verdana" w:cs="Times New Roman"/>
      <w:sz w:val="20"/>
      <w:szCs w:val="24"/>
    </w:rPr>
  </w:style>
  <w:style w:type="paragraph" w:customStyle="1" w:styleId="VersionControlSub">
    <w:name w:val="Version Control Sub"/>
    <w:basedOn w:val="Normal"/>
    <w:link w:val="VersionControlSubChar"/>
    <w:qFormat/>
    <w:rsid w:val="0027706B"/>
    <w:pPr>
      <w:spacing w:before="60" w:after="120" w:line="240" w:lineRule="auto"/>
    </w:pPr>
    <w:rPr>
      <w:rFonts w:ascii="Arial" w:hAnsi="Arial"/>
      <w:b/>
      <w:i/>
    </w:rPr>
  </w:style>
  <w:style w:type="character" w:customStyle="1" w:styleId="VersionControlSubChar">
    <w:name w:val="Version Control Sub Char"/>
    <w:basedOn w:val="DefaultParagraphFont"/>
    <w:link w:val="VersionControlSub"/>
    <w:rsid w:val="0027706B"/>
    <w:rPr>
      <w:rFonts w:ascii="Arial" w:hAnsi="Arial"/>
      <w:b/>
      <w:i/>
      <w:sz w:val="20"/>
    </w:rPr>
  </w:style>
  <w:style w:type="paragraph" w:customStyle="1" w:styleId="VersionControl">
    <w:name w:val="Version Control"/>
    <w:basedOn w:val="ListParagraph"/>
    <w:link w:val="VersionControlChar"/>
    <w:qFormat/>
    <w:rsid w:val="0027706B"/>
    <w:pPr>
      <w:spacing w:before="60" w:after="120"/>
      <w:ind w:left="0"/>
      <w:contextualSpacing w:val="0"/>
    </w:pPr>
    <w:rPr>
      <w:rFonts w:ascii="Arial" w:eastAsiaTheme="minorHAnsi" w:hAnsi="Arial" w:cstheme="minorBidi"/>
      <w:b/>
      <w:sz w:val="24"/>
      <w:szCs w:val="22"/>
    </w:rPr>
  </w:style>
  <w:style w:type="character" w:customStyle="1" w:styleId="VersionControlChar">
    <w:name w:val="Version Control Char"/>
    <w:basedOn w:val="DefaultParagraphFont"/>
    <w:link w:val="VersionControl"/>
    <w:rsid w:val="0027706B"/>
    <w:rPr>
      <w:rFonts w:ascii="Arial" w:hAnsi="Arial"/>
      <w:b/>
      <w:sz w:val="24"/>
    </w:rPr>
  </w:style>
  <w:style w:type="paragraph" w:customStyle="1" w:styleId="EYSubheading">
    <w:name w:val="EY Subheading"/>
    <w:basedOn w:val="Normal"/>
    <w:next w:val="BodyText"/>
    <w:rsid w:val="001D3407"/>
    <w:pPr>
      <w:keepNext/>
      <w:spacing w:after="0" w:line="240" w:lineRule="atLeast"/>
      <w:outlineLvl w:val="0"/>
    </w:pPr>
    <w:rPr>
      <w:rFonts w:ascii="EYInterstate" w:eastAsia="Times New Roman" w:hAnsi="EYInterstate" w:cs="Times New Roman"/>
      <w:b/>
      <w:kern w:val="12"/>
      <w:sz w:val="18"/>
      <w:szCs w:val="24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1D34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D3407"/>
    <w:rPr>
      <w:rFonts w:ascii="Verdana" w:hAnsi="Verdana"/>
      <w:sz w:val="20"/>
    </w:rPr>
  </w:style>
  <w:style w:type="paragraph" w:customStyle="1" w:styleId="EYBodytextwithparaspace">
    <w:name w:val="EY Body text (with para space)"/>
    <w:basedOn w:val="Normal"/>
    <w:link w:val="EYBodytextwithparaspaceChar"/>
    <w:qFormat/>
    <w:rsid w:val="001C47C6"/>
    <w:pPr>
      <w:numPr>
        <w:ilvl w:val="4"/>
        <w:numId w:val="6"/>
      </w:numPr>
      <w:spacing w:after="240" w:line="240" w:lineRule="auto"/>
      <w:outlineLvl w:val="0"/>
    </w:pPr>
    <w:rPr>
      <w:rFonts w:ascii="EYInterstate Light" w:eastAsia="Times New Roman" w:hAnsi="EYInterstate Light" w:cs="Times New Roman"/>
      <w:kern w:val="12"/>
      <w:szCs w:val="24"/>
      <w:lang w:val="en-GB"/>
    </w:rPr>
  </w:style>
  <w:style w:type="paragraph" w:customStyle="1" w:styleId="EYbodytext">
    <w:name w:val="EY_body text"/>
    <w:basedOn w:val="Normal"/>
    <w:rsid w:val="001C47C6"/>
    <w:pPr>
      <w:keepNext/>
      <w:numPr>
        <w:ilvl w:val="1"/>
        <w:numId w:val="6"/>
      </w:numPr>
      <w:spacing w:after="120" w:line="240" w:lineRule="atLeast"/>
      <w:outlineLvl w:val="0"/>
    </w:pPr>
    <w:rPr>
      <w:rFonts w:ascii="EYInterstate Light" w:eastAsia="Times New Roman" w:hAnsi="EYInterstate Light" w:cs="Times New Roman"/>
      <w:kern w:val="12"/>
      <w:sz w:val="18"/>
      <w:szCs w:val="24"/>
      <w:lang w:val="en-GB"/>
    </w:rPr>
  </w:style>
  <w:style w:type="paragraph" w:customStyle="1" w:styleId="EYHeading1">
    <w:name w:val="EY Heading 1"/>
    <w:basedOn w:val="Normal"/>
    <w:next w:val="EYBodytextwithparaspace"/>
    <w:rsid w:val="001C47C6"/>
    <w:pPr>
      <w:numPr>
        <w:numId w:val="6"/>
      </w:numPr>
      <w:spacing w:after="360" w:line="240" w:lineRule="auto"/>
      <w:outlineLvl w:val="0"/>
    </w:pPr>
    <w:rPr>
      <w:rFonts w:ascii="EYInterstate" w:eastAsia="Times New Roman" w:hAnsi="EYInterstate" w:cs="Times New Roman"/>
      <w:color w:val="646464"/>
      <w:kern w:val="12"/>
      <w:sz w:val="40"/>
      <w:szCs w:val="24"/>
      <w:lang w:val="en-GB"/>
    </w:rPr>
  </w:style>
  <w:style w:type="numbering" w:customStyle="1" w:styleId="ParaNumbering">
    <w:name w:val="ParaNumbering"/>
    <w:basedOn w:val="NoList"/>
    <w:rsid w:val="001C47C6"/>
    <w:pPr>
      <w:numPr>
        <w:numId w:val="6"/>
      </w:numPr>
    </w:pPr>
  </w:style>
  <w:style w:type="character" w:customStyle="1" w:styleId="EYBodytextwithparaspaceChar">
    <w:name w:val="EY Body text (with para space) Char"/>
    <w:basedOn w:val="DefaultParagraphFont"/>
    <w:link w:val="EYBodytextwithparaspace"/>
    <w:rsid w:val="001C47C6"/>
    <w:rPr>
      <w:rFonts w:ascii="EYInterstate Light" w:eastAsia="Times New Roman" w:hAnsi="EYInterstate Light" w:cs="Times New Roman"/>
      <w:kern w:val="12"/>
      <w:sz w:val="20"/>
      <w:szCs w:val="24"/>
      <w:lang w:val="en-GB"/>
    </w:rPr>
  </w:style>
  <w:style w:type="paragraph" w:customStyle="1" w:styleId="02-SoW-03-04-Lev4-Section-Indent">
    <w:name w:val="02 - SoW - 03 - 04 - Lev 4 - Section - Indent"/>
    <w:basedOn w:val="Normal"/>
    <w:rsid w:val="004D7FF0"/>
    <w:pPr>
      <w:spacing w:before="120" w:after="120" w:line="240" w:lineRule="auto"/>
      <w:ind w:left="720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1-Lev1-Heading">
    <w:name w:val="02.1 - SoW - Schedule - 01 - Lev 1 - Heading"/>
    <w:basedOn w:val="Normal"/>
    <w:rsid w:val="004D7FF0"/>
    <w:pPr>
      <w:numPr>
        <w:numId w:val="7"/>
      </w:numPr>
      <w:spacing w:before="120" w:after="120" w:line="240" w:lineRule="auto"/>
      <w:jc w:val="both"/>
    </w:pPr>
    <w:rPr>
      <w:rFonts w:ascii="Arial" w:hAnsi="Arial" w:cs="Arial"/>
      <w:b/>
      <w:bCs/>
      <w:caps/>
      <w:szCs w:val="20"/>
      <w:lang w:val="en-IN" w:eastAsia="en-AU"/>
    </w:rPr>
  </w:style>
  <w:style w:type="paragraph" w:customStyle="1" w:styleId="021-SoW-Schedule-02-Lev2-Heading">
    <w:name w:val="02.1 - SoW - Schedule - 02 - Lev 2 - Heading"/>
    <w:basedOn w:val="Normal"/>
    <w:rsid w:val="004D7FF0"/>
    <w:pPr>
      <w:numPr>
        <w:ilvl w:val="1"/>
        <w:numId w:val="7"/>
      </w:numPr>
      <w:spacing w:before="120" w:after="120" w:line="240" w:lineRule="auto"/>
      <w:jc w:val="both"/>
    </w:pPr>
    <w:rPr>
      <w:rFonts w:ascii="Arial" w:hAnsi="Arial" w:cs="Arial"/>
      <w:b/>
      <w:bCs/>
      <w:szCs w:val="20"/>
      <w:lang w:val="en-IN" w:eastAsia="en-AU"/>
    </w:rPr>
  </w:style>
  <w:style w:type="paragraph" w:customStyle="1" w:styleId="021-SoW-Schedule-03-Lev3-Heading">
    <w:name w:val="02.1 - SoW - Schedule - 03 - Lev 3 - Heading"/>
    <w:basedOn w:val="Normal"/>
    <w:rsid w:val="004D7FF0"/>
    <w:pPr>
      <w:numPr>
        <w:ilvl w:val="2"/>
        <w:numId w:val="7"/>
      </w:numPr>
      <w:spacing w:before="120" w:after="120" w:line="240" w:lineRule="auto"/>
      <w:jc w:val="both"/>
    </w:pPr>
    <w:rPr>
      <w:rFonts w:ascii="Arial" w:hAnsi="Arial" w:cs="Arial"/>
      <w:b/>
      <w:bCs/>
      <w:szCs w:val="20"/>
      <w:u w:val="single"/>
      <w:lang w:val="en-IN" w:eastAsia="en-AU"/>
    </w:rPr>
  </w:style>
  <w:style w:type="paragraph" w:customStyle="1" w:styleId="021-SoW-Schedule-05-Lev4-Section">
    <w:name w:val="02.1 - SoW - Schedule - 05 - Lev 4 - Section"/>
    <w:basedOn w:val="Normal"/>
    <w:rsid w:val="004D7FF0"/>
    <w:pPr>
      <w:numPr>
        <w:ilvl w:val="3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6-Lev5-Section">
    <w:name w:val="02.1 - SoW - Schedule - 06 - Lev 5 - Section"/>
    <w:basedOn w:val="Normal"/>
    <w:rsid w:val="004D7FF0"/>
    <w:pPr>
      <w:numPr>
        <w:ilvl w:val="4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7-Lev6-Section">
    <w:name w:val="02.1 - SoW - Schedule - 07 - Lev 6 - Section"/>
    <w:basedOn w:val="Normal"/>
    <w:rsid w:val="004D7FF0"/>
    <w:pPr>
      <w:numPr>
        <w:ilvl w:val="5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8-Lev7-Section">
    <w:name w:val="02.1 - SoW - Schedule - 08 - Lev 7 - Section"/>
    <w:basedOn w:val="Normal"/>
    <w:rsid w:val="004D7FF0"/>
    <w:pPr>
      <w:numPr>
        <w:ilvl w:val="6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09-Lev8-Section">
    <w:name w:val="02.1 - SoW - Schedule - 09 - Lev 8 - Section"/>
    <w:basedOn w:val="Normal"/>
    <w:rsid w:val="004D7FF0"/>
    <w:pPr>
      <w:numPr>
        <w:ilvl w:val="7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paragraph" w:customStyle="1" w:styleId="021-SoW-Schedule-10-Lev9-Section">
    <w:name w:val="02.1 - SoW - Schedule - 10 - Lev 9 - Section"/>
    <w:basedOn w:val="Normal"/>
    <w:rsid w:val="004D7FF0"/>
    <w:pPr>
      <w:numPr>
        <w:ilvl w:val="8"/>
        <w:numId w:val="7"/>
      </w:numPr>
      <w:spacing w:before="120" w:after="120" w:line="240" w:lineRule="auto"/>
      <w:jc w:val="both"/>
    </w:pPr>
    <w:rPr>
      <w:rFonts w:ascii="Arial" w:hAnsi="Arial" w:cs="Arial"/>
      <w:szCs w:val="20"/>
      <w:lang w:val="en-IN" w:eastAsia="en-AU"/>
    </w:rPr>
  </w:style>
  <w:style w:type="character" w:customStyle="1" w:styleId="0-00-01-NormalBold">
    <w:name w:val="0 - 00 - 01 - Normal Bold"/>
    <w:basedOn w:val="DefaultParagraphFont"/>
    <w:uiPriority w:val="1"/>
    <w:rsid w:val="004D7FF0"/>
    <w:rPr>
      <w:b/>
      <w:bCs/>
      <w:lang w:eastAsia="en-US"/>
    </w:rPr>
  </w:style>
  <w:style w:type="numbering" w:customStyle="1" w:styleId="List-SoWSchedule">
    <w:name w:val="List - SoW Schedule"/>
    <w:uiPriority w:val="99"/>
    <w:rsid w:val="004D7FF0"/>
    <w:pPr>
      <w:numPr>
        <w:numId w:val="7"/>
      </w:numPr>
    </w:pPr>
  </w:style>
  <w:style w:type="paragraph" w:customStyle="1" w:styleId="Style1">
    <w:name w:val="Style1"/>
    <w:basedOn w:val="Normal"/>
    <w:link w:val="Style1Char"/>
    <w:qFormat/>
    <w:rsid w:val="004D7FF0"/>
    <w:pPr>
      <w:spacing w:after="120" w:line="240" w:lineRule="auto"/>
      <w:ind w:left="851" w:hanging="851"/>
      <w:outlineLvl w:val="1"/>
    </w:pPr>
    <w:rPr>
      <w:rFonts w:ascii="EYInterstate" w:eastAsia="Times New Roman" w:hAnsi="EYInterstate" w:cs="Times New Roman"/>
      <w:color w:val="808080"/>
      <w:sz w:val="28"/>
      <w:szCs w:val="24"/>
    </w:rPr>
  </w:style>
  <w:style w:type="character" w:customStyle="1" w:styleId="Style1Char">
    <w:name w:val="Style1 Char"/>
    <w:basedOn w:val="DefaultParagraphFont"/>
    <w:link w:val="Style1"/>
    <w:rsid w:val="004D7FF0"/>
    <w:rPr>
      <w:rFonts w:ascii="EYInterstate" w:eastAsia="Times New Roman" w:hAnsi="EYInterstate" w:cs="Times New Roman"/>
      <w:color w:val="80808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3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72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953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370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35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95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18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9673">
          <w:marLeft w:val="113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3789">
          <w:marLeft w:val="113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7376">
          <w:marLeft w:val="113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801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9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3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3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6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5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73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743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392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25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7684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500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4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42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54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82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6224">
          <w:marLeft w:val="113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2646">
          <w:marLeft w:val="113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6493">
          <w:marLeft w:val="112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414">
          <w:marLeft w:val="562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8992">
          <w:marLeft w:val="1123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10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12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3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0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7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1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810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8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53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86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1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13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45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5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5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95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612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4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2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7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2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509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3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72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950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157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359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4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8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34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04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306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71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47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230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7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8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095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7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56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30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1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10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16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40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74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5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439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154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9680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938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012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89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500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73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9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79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00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75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4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44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59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84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125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361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26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14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656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431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506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6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33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93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7024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2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666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060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89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98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8113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50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39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58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09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011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7682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9632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451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155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55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759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053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501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3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225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3421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4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893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303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1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42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0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5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9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259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958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208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7624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8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61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42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076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891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97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742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362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141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832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363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069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07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2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80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7681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88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343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506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305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32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997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53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91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189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350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860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214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637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40164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214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8846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4107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66378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34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966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41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68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1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5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0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7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528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4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104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3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404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7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35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cid:image019.png@01D2D556.4555F290" TargetMode="External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B50DA49BF174133B003B5D3D9DDA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68D3E-7B60-4E18-9738-B334A32B8BF7}"/>
      </w:docPartPr>
      <w:docPartBody>
        <w:p w:rsidR="002507CF" w:rsidRDefault="00961930" w:rsidP="00961930">
          <w:pPr>
            <w:pStyle w:val="BB50DA49BF174133B003B5D3D9DDAC8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EYInterstate Light">
    <w:altName w:val="Arial Narrow"/>
    <w:charset w:val="00"/>
    <w:family w:val="auto"/>
    <w:pitch w:val="variable"/>
    <w:sig w:usb0="800002AF" w:usb1="5000204A" w:usb2="00000000" w:usb3="00000000" w:csb0="000000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YInterstate">
    <w:charset w:val="00"/>
    <w:family w:val="auto"/>
    <w:pitch w:val="variable"/>
    <w:sig w:usb0="A00002AF" w:usb1="5000206A" w:usb2="00000000" w:usb3="00000000" w:csb0="0000009F" w:csb1="00000000"/>
  </w:font>
  <w:font w:name="EYInterstate Light Bold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930"/>
    <w:rsid w:val="00025AE1"/>
    <w:rsid w:val="002507CF"/>
    <w:rsid w:val="005A7EAA"/>
    <w:rsid w:val="00961930"/>
    <w:rsid w:val="009A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50DA49BF174133B003B5D3D9DDAC80">
    <w:name w:val="BB50DA49BF174133B003B5D3D9DDAC80"/>
    <w:rsid w:val="0096193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50DA49BF174133B003B5D3D9DDAC80">
    <w:name w:val="BB50DA49BF174133B003B5D3D9DDAC80"/>
    <w:rsid w:val="009619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7BF72E-E8B3-436E-982F-3E8B0C14BB5C}">
  <ds:schemaRefs>
    <ds:schemaRef ds:uri="http://schemas.openxmlformats.org/officeDocument/2006/bibliography"/>
  </ds:schemaRefs>
</ds:datastoreItem>
</file>

<file path=docProps/CustomMKOP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KProdID">
    <vt:lpwstr>ZMOutlook</vt:lpwstr>
  </property>
  <property fmtid="{D5CDD505-2E9C-101B-9397-08002B2CF9AE}" pid="3" name="SizeBefore">
    <vt:lpwstr>92362</vt:lpwstr>
  </property>
  <property fmtid="{D5CDD505-2E9C-101B-9397-08002B2CF9AE}" pid="4" name="OptimizationTime">
    <vt:lpwstr>20170713_1201</vt:lpwstr>
  </property>
</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1810</Words>
  <Characters>10322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Credit Risk IFRS9 Staging Memo</vt:lpstr>
    </vt:vector>
  </TitlesOfParts>
  <Company>Ernst &amp; Young</Company>
  <LinksUpToDate>false</LinksUpToDate>
  <CharactersWithSpaces>12108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Risk IFRS9 Staging Memo</dc:title>
  <dc:subject/>
  <dc:creator>Ankur Mandal</dc:creator>
  <cp:keywords/>
  <dc:description/>
  <cp:lastModifiedBy>Gil Bernaldez Olaer</cp:lastModifiedBy>
  <cp:revision>1</cp:revision>
  <cp:lastPrinted>2017-05-25T11:02:00Z</cp:lastPrinted>
  <dcterms:created xsi:type="dcterms:W3CDTF">2017-05-25T11:22:00Z</dcterms:created>
  <dcterms:modified xsi:type="dcterms:W3CDTF">2017-05-25T11:31:00Z</dcterms:modified>
</cp:coreProperties>
</file>