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Remote Work Policy</w:t>
      </w:r>
    </w:p>
    <w:p>
      <w:pPr>
        <w:pStyle w:val="Heading2"/>
      </w:pPr>
      <w:r>
        <w:t xml:space="preserve">Equipment</w:t>
      </w:r>
    </w:p>
    <w:p>
      <w:r>
        <w:t xml:space="preserve">The company provides a laptop and one external monitor to every remote employee.</w:t>
      </w:r>
    </w:p>
    <w:p>
      <w:r>
        <w:t xml:space="preserve">Hardware is replaced on a three year cycle.</w:t>
      </w:r>
    </w:p>
    <w:p>
      <w:pPr>
        <w:pStyle w:val="Heading2"/>
      </w:pPr>
      <w:r>
        <w:t xml:space="preserve">Working hours</w:t>
      </w:r>
    </w:p>
    <w:p>
      <w:r>
        <w:t xml:space="preserve">Core hours are 10:00 to 16:00 in the employee's local time zone.</w:t>
      </w:r>
    </w:p>
  </w:body>
</w:document>
</file>