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b/>
          <w:bCs/>
          <w:color w:val="1F3864"/>
          <w:sz w:val="44"/>
          <w:szCs w:val="44"/>
        </w:rPr>
        <w:t xml:space="preserve">GitHub Copilot Governance Platform</w:t>
      </w:r>
    </w:p>
    <w:p>
      <w:pPr>
        <w:spacing w:after="400"/>
        <w:jc w:val="center"/>
      </w:pPr>
      <w:r>
        <w:rPr>
          <w:rFonts w:ascii="Calibri" w:cs="Calibri" w:eastAsia="Calibri" w:hAnsi="Calibri"/>
          <w:color w:val="44546A"/>
          <w:sz w:val="28"/>
          <w:szCs w:val="28"/>
        </w:rPr>
        <w:t xml:space="preserve">Functional Description and Request for Approval</w:t>
      </w:r>
    </w:p>
    <w:p>
      <w:pPr>
        <w:pBdr>
          <w:bottom w:val="single" w:color="1F3864" w:sz="6"/>
        </w:pBdr>
        <w:spacing w:after="160" w:before="60"/>
      </w:pPr>
    </w:p>
    <w:p>
      <w:pPr>
        <w:spacing w:after="20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600"/>
        <w:gridCol w:w="6760"/>
      </w:tblGrid>
      <w:tr>
        <w:trPr>
          <w:tblHeader/>
        </w:trPr>
        <w:tc>
          <w:tcPr>
            <w:tcW w:type="dxa" w:w="26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Field</w:t>
            </w:r>
          </w:p>
        </w:tc>
        <w:tc>
          <w:tcPr>
            <w:tcW w:type="dxa" w:w="67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Detail</w:t>
            </w:r>
          </w:p>
        </w:tc>
      </w:tr>
      <w:tr>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Document type</w:t>
            </w:r>
          </w:p>
        </w:tc>
        <w:tc>
          <w:tcPr>
            <w:tcW w:type="dxa" w:w="6760"/>
            <w:tcMar>
              <w:top w:type="dxa" w:w="60"/>
              <w:left w:type="dxa" w:w="110"/>
              <w:bottom w:type="dxa" w:w="60"/>
              <w:right w:type="dxa" w:w="110"/>
            </w:tcMar>
          </w:tcPr>
          <w:p>
            <w:pPr>
              <w:spacing w:after="0" w:line="252"/>
            </w:pPr>
            <w:r>
              <w:rPr>
                <w:rFonts w:ascii="Calibri" w:cs="Calibri" w:eastAsia="Calibri" w:hAnsi="Calibri"/>
                <w:sz w:val="19"/>
                <w:szCs w:val="19"/>
              </w:rPr>
              <w:t xml:space="preserve">Functional description and approval submission</w:t>
            </w:r>
          </w:p>
        </w:tc>
      </w:tr>
      <w:tr>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System</w:t>
            </w:r>
          </w:p>
        </w:tc>
        <w:tc>
          <w:tcPr>
            <w:tcW w:type="dxa" w:w="6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copilot-governance (central repository)</w:t>
            </w:r>
          </w:p>
        </w:tc>
      </w:tr>
      <w:tr>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Prepared by</w:t>
            </w:r>
          </w:p>
        </w:tc>
        <w:tc>
          <w:tcPr>
            <w:tcW w:type="dxa" w:w="6760"/>
            <w:tcMar>
              <w:top w:type="dxa" w:w="60"/>
              <w:left w:type="dxa" w:w="110"/>
              <w:bottom w:type="dxa" w:w="60"/>
              <w:right w:type="dxa" w:w="110"/>
            </w:tcMar>
          </w:tcPr>
          <w:p>
            <w:pPr>
              <w:spacing w:after="0" w:line="252"/>
            </w:pPr>
            <w:r>
              <w:rPr>
                <w:rFonts w:ascii="Calibri" w:cs="Calibri" w:eastAsia="Calibri" w:hAnsi="Calibri"/>
                <w:sz w:val="19"/>
                <w:szCs w:val="19"/>
              </w:rPr>
              <w:t xml:space="preserve">Principal Architect, Platform Architecture</w:t>
            </w:r>
          </w:p>
        </w:tc>
      </w:tr>
      <w:tr>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Date</w:t>
            </w:r>
          </w:p>
        </w:tc>
        <w:tc>
          <w:tcPr>
            <w:tcW w:type="dxa" w:w="6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29 July 2026</w:t>
            </w:r>
          </w:p>
        </w:tc>
      </w:tr>
      <w:tr>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Version</w:t>
            </w:r>
          </w:p>
        </w:tc>
        <w:tc>
          <w:tcPr>
            <w:tcW w:type="dxa" w:w="6760"/>
            <w:tcMar>
              <w:top w:type="dxa" w:w="60"/>
              <w:left w:type="dxa" w:w="110"/>
              <w:bottom w:type="dxa" w:w="60"/>
              <w:right w:type="dxa" w:w="110"/>
            </w:tcMar>
          </w:tcPr>
          <w:p>
            <w:pPr>
              <w:spacing w:after="0" w:line="252"/>
            </w:pPr>
            <w:r>
              <w:rPr>
                <w:rFonts w:ascii="Calibri" w:cs="Calibri" w:eastAsia="Calibri" w:hAnsi="Calibri"/>
                <w:sz w:val="19"/>
                <w:szCs w:val="19"/>
              </w:rPr>
              <w:t xml:space="preserve">1.0</w:t>
            </w:r>
          </w:p>
        </w:tc>
      </w:tr>
      <w:tr>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Status</w:t>
            </w:r>
          </w:p>
        </w:tc>
        <w:tc>
          <w:tcPr>
            <w:tcW w:type="dxa" w:w="6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Submitted for approval</w:t>
            </w:r>
          </w:p>
        </w:tc>
      </w:tr>
      <w:tr>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Current delivery phase</w:t>
            </w:r>
          </w:p>
        </w:tc>
        <w:tc>
          <w:tcPr>
            <w:tcW w:type="dxa" w:w="6760"/>
            <w:tcMar>
              <w:top w:type="dxa" w:w="60"/>
              <w:left w:type="dxa" w:w="110"/>
              <w:bottom w:type="dxa" w:w="60"/>
              <w:right w:type="dxa" w:w="110"/>
            </w:tcMar>
          </w:tcPr>
          <w:p>
            <w:pPr>
              <w:spacing w:after="0" w:line="252"/>
            </w:pPr>
            <w:r>
              <w:rPr>
                <w:rFonts w:ascii="Calibri" w:cs="Calibri" w:eastAsia="Calibri" w:hAnsi="Calibri"/>
                <w:sz w:val="19"/>
                <w:szCs w:val="19"/>
              </w:rPr>
              <w:t xml:space="preserve">Phase 5 - Prompt Interception (built, tested, not yet piloted)</w:t>
            </w:r>
          </w:p>
        </w:tc>
      </w:tr>
      <w:tr>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Approval sought for</w:t>
            </w:r>
          </w:p>
        </w:tc>
        <w:tc>
          <w:tcPr>
            <w:tcW w:type="dxa" w:w="6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Pilot deployment to four repositories and the decisions in Section 13</w:t>
            </w:r>
          </w:p>
        </w:tc>
      </w:tr>
    </w:tbl>
    <w:p>
      <w:r>
        <w:br w:type="page"/>
      </w:r>
    </w:p>
    <w:p>
      <w:pPr>
        <w:pStyle w:val="Heading1"/>
        <w:spacing w:after="140" w:before="280"/>
      </w:pPr>
      <w:r>
        <w:rPr>
          <w:rFonts w:ascii="Calibri" w:cs="Calibri" w:eastAsia="Calibri" w:hAnsi="Calibri"/>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808080"/>
          <w:sz w:val="18"/>
          <w:szCs w:val="18"/>
        </w:rPr>
        <w:t xml:space="preserve">If the contents list appears empty, open the document in Word and choose Update Field.</w:t>
      </w:r>
    </w:p>
    <w:p>
      <w:r>
        <w:br w:type="page"/>
      </w:r>
    </w:p>
    <w:p>
      <w:pPr>
        <w:pStyle w:val="Heading1"/>
        <w:spacing w:after="140" w:before="280"/>
      </w:pPr>
      <w:r>
        <w:rPr>
          <w:rFonts w:ascii="Calibri" w:cs="Calibri" w:eastAsia="Calibri" w:hAnsi="Calibri"/>
          <w:b/>
          <w:bCs/>
          <w:color w:val="1F3864"/>
        </w:rPr>
        <w:t xml:space="preserve">1. Executive Summary</w:t>
      </w:r>
    </w:p>
    <w:p>
      <w:pPr>
        <w:spacing w:after="120" w:line="276"/>
      </w:pPr>
      <w:r>
        <w:rPr>
          <w:rFonts w:ascii="Calibri" w:cs="Calibri" w:eastAsia="Calibri" w:hAnsi="Calibri"/>
          <w:sz w:val="21"/>
          <w:szCs w:val="21"/>
        </w:rPr>
        <w:t xml:space="preserve">This document describes the complete functionality of the copilot-governance repository and requests approval to proceed to pilot deployment.</w:t>
      </w:r>
    </w:p>
    <w:p>
      <w:pPr>
        <w:spacing w:after="120" w:line="276"/>
      </w:pPr>
      <w:r>
        <w:rPr>
          <w:rFonts w:ascii="Calibri" w:cs="Calibri" w:eastAsia="Calibri" w:hAnsi="Calibri"/>
          <w:sz w:val="21"/>
          <w:szCs w:val="21"/>
        </w:rPr>
        <w:t xml:space="preserve">The platform addresses a control gap created by the adoption of GitHub Copilot across the engineering estate. Copilot generates code from natural-language prompts, and without intervention it does so with no awareness of our security standards, approved libraries, logging restrictions, or testing requirements. Each repository was accumulating its own divergent guidance, with no central authority and no means of verifying that guidance was applied.</w:t>
      </w:r>
    </w:p>
    <w:p>
      <w:pPr>
        <w:spacing w:after="120" w:line="276"/>
      </w:pPr>
      <w:r>
        <w:rPr>
          <w:rFonts w:ascii="Calibri" w:cs="Calibri" w:eastAsia="Calibri" w:hAnsi="Calibri"/>
          <w:sz w:val="21"/>
          <w:szCs w:val="21"/>
        </w:rPr>
        <w:t xml:space="preserve">The platform provides four capabilities. It maintains a single authoritative set of coding and security standards; it distributes those standards to every repository through reviewed pull requests; it enforces them at the moment a developer submits a prompt, by rewriting that prompt to include the relevant standards before the AI model receives it; and it records what occurred, giving us measurement where previously we had only estimates.</w:t>
      </w:r>
    </w:p>
    <w:p>
      <w:pPr>
        <w:spacing w:after="120" w:line="276"/>
      </w:pPr>
      <w:r>
        <w:rPr>
          <w:rFonts w:ascii="Calibri" w:cs="Calibri" w:eastAsia="Calibri" w:hAnsi="Calibri"/>
          <w:sz w:val="21"/>
          <w:szCs w:val="21"/>
        </w:rPr>
        <w:t xml:space="preserve">The system is built, tested, and operating in a non-blocking mode. No developer prompt is currently rejected. Approval is sought to run a four-repository pilot, after which policy enforcement would be enabled incrementally on the evidence of that pilot.</w:t>
      </w:r>
    </w:p>
    <w:p>
      <w:pPr>
        <w:pStyle w:val="Heading1"/>
        <w:spacing w:after="140" w:before="280"/>
      </w:pPr>
      <w:r>
        <w:rPr>
          <w:rFonts w:ascii="Calibri" w:cs="Calibri" w:eastAsia="Calibri" w:hAnsi="Calibri"/>
          <w:b/>
          <w:bCs/>
          <w:color w:val="1F3864"/>
        </w:rPr>
        <w:t xml:space="preserve">2. Purpose and Scope</w:t>
      </w:r>
    </w:p>
    <w:p>
      <w:pPr>
        <w:pStyle w:val="Heading2"/>
        <w:spacing w:after="140" w:before="280"/>
      </w:pPr>
      <w:r>
        <w:rPr>
          <w:rFonts w:ascii="Calibri" w:cs="Calibri" w:eastAsia="Calibri" w:hAnsi="Calibri"/>
          <w:b/>
          <w:bCs/>
          <w:color w:val="1F3864"/>
        </w:rPr>
        <w:t xml:space="preserve">2.1 In scope</w:t>
      </w:r>
    </w:p>
    <w:p>
      <w:pPr>
        <w:pStyle w:val="ListParagraph"/>
        <w:numPr>
          <w:ilvl w:val="0"/>
          <w:numId w:val="2"/>
        </w:numPr>
        <w:spacing w:after="80" w:line="276"/>
      </w:pPr>
      <w:r>
        <w:rPr>
          <w:rFonts w:ascii="Calibri" w:cs="Calibri" w:eastAsia="Calibri" w:hAnsi="Calibri"/>
          <w:sz w:val="21"/>
          <w:szCs w:val="21"/>
        </w:rPr>
        <w:t xml:space="preserve">Central authorship of Copilot instruction and prompt-workflow content</w:t>
      </w:r>
    </w:p>
    <w:p>
      <w:pPr>
        <w:pStyle w:val="ListParagraph"/>
        <w:numPr>
          <w:ilvl w:val="0"/>
          <w:numId w:val="2"/>
        </w:numPr>
        <w:spacing w:after="80" w:line="276"/>
      </w:pPr>
      <w:r>
        <w:rPr>
          <w:rFonts w:ascii="Calibri" w:cs="Calibri" w:eastAsia="Calibri" w:hAnsi="Calibri"/>
          <w:sz w:val="21"/>
          <w:szCs w:val="21"/>
        </w:rPr>
        <w:t xml:space="preserve">Automated, pull-request-based distribution of that content to target repositories</w:t>
      </w:r>
    </w:p>
    <w:p>
      <w:pPr>
        <w:pStyle w:val="ListParagraph"/>
        <w:numPr>
          <w:ilvl w:val="0"/>
          <w:numId w:val="2"/>
        </w:numPr>
        <w:spacing w:after="80" w:line="276"/>
      </w:pPr>
      <w:r>
        <w:rPr>
          <w:rFonts w:ascii="Calibri" w:cs="Calibri" w:eastAsia="Calibri" w:hAnsi="Calibri"/>
          <w:sz w:val="21"/>
          <w:szCs w:val="21"/>
        </w:rPr>
        <w:t xml:space="preserve">Interception and governance of developer prompts at submission time</w:t>
      </w:r>
    </w:p>
    <w:p>
      <w:pPr>
        <w:pStyle w:val="ListParagraph"/>
        <w:numPr>
          <w:ilvl w:val="0"/>
          <w:numId w:val="2"/>
        </w:numPr>
        <w:spacing w:after="80" w:line="276"/>
      </w:pPr>
      <w:r>
        <w:rPr>
          <w:rFonts w:ascii="Calibri" w:cs="Calibri" w:eastAsia="Calibri" w:hAnsi="Calibri"/>
          <w:sz w:val="21"/>
          <w:szCs w:val="21"/>
        </w:rPr>
        <w:t xml:space="preserve">Local developer tooling for validation, auditing and preview</w:t>
      </w:r>
    </w:p>
    <w:p>
      <w:pPr>
        <w:pStyle w:val="ListParagraph"/>
        <w:numPr>
          <w:ilvl w:val="0"/>
          <w:numId w:val="2"/>
        </w:numPr>
        <w:spacing w:after="80" w:line="276"/>
      </w:pPr>
      <w:r>
        <w:rPr>
          <w:rFonts w:ascii="Calibri" w:cs="Calibri" w:eastAsia="Calibri" w:hAnsi="Calibri"/>
          <w:sz w:val="21"/>
          <w:szCs w:val="21"/>
        </w:rPr>
        <w:t xml:space="preserve">Measurement of prompt governance activity</w:t>
      </w:r>
    </w:p>
    <w:p>
      <w:pPr>
        <w:pStyle w:val="Heading2"/>
        <w:spacing w:after="140" w:before="280"/>
      </w:pPr>
      <w:r>
        <w:rPr>
          <w:rFonts w:ascii="Calibri" w:cs="Calibri" w:eastAsia="Calibri" w:hAnsi="Calibri"/>
          <w:b/>
          <w:bCs/>
          <w:color w:val="1F3864"/>
        </w:rPr>
        <w:t xml:space="preserve">2.2 Out of scope</w:t>
      </w:r>
    </w:p>
    <w:p>
      <w:pPr>
        <w:spacing w:after="120" w:line="276"/>
      </w:pPr>
      <w:r>
        <w:rPr>
          <w:rFonts w:ascii="Calibri" w:cs="Calibri" w:eastAsia="Calibri" w:hAnsi="Calibri"/>
          <w:sz w:val="21"/>
          <w:szCs w:val="21"/>
        </w:rPr>
        <w:t xml:space="preserve">The following are explicitly not provided by this platform, and existing controls remain the authority in each case.</w:t>
      </w:r>
    </w:p>
    <w:p>
      <w:pPr>
        <w:pStyle w:val="ListParagraph"/>
        <w:numPr>
          <w:ilvl w:val="0"/>
          <w:numId w:val="2"/>
        </w:numPr>
        <w:spacing w:after="80" w:line="276"/>
      </w:pPr>
      <w:r>
        <w:rPr>
          <w:rFonts w:ascii="Calibri" w:cs="Calibri" w:eastAsia="Calibri" w:hAnsi="Calibri"/>
          <w:sz w:val="21"/>
          <w:szCs w:val="21"/>
        </w:rPr>
        <w:t xml:space="preserve">Model hosting, model selection, or any change to the Copilot licence or tenancy</w:t>
      </w:r>
    </w:p>
    <w:p>
      <w:pPr>
        <w:pStyle w:val="ListParagraph"/>
        <w:numPr>
          <w:ilvl w:val="0"/>
          <w:numId w:val="2"/>
        </w:numPr>
        <w:spacing w:after="80" w:line="276"/>
      </w:pPr>
      <w:r>
        <w:rPr>
          <w:rFonts w:ascii="Calibri" w:cs="Calibri" w:eastAsia="Calibri" w:hAnsi="Calibri"/>
          <w:sz w:val="21"/>
          <w:szCs w:val="21"/>
        </w:rPr>
        <w:t xml:space="preserve">Replacement of SonarQube, SAST, secret scanning, dependency scanning, or manual code review</w:t>
      </w:r>
    </w:p>
    <w:p>
      <w:pPr>
        <w:pStyle w:val="ListParagraph"/>
        <w:numPr>
          <w:ilvl w:val="0"/>
          <w:numId w:val="2"/>
        </w:numPr>
        <w:spacing w:after="80" w:line="276"/>
      </w:pPr>
      <w:r>
        <w:rPr>
          <w:rFonts w:ascii="Calibri" w:cs="Calibri" w:eastAsia="Calibri" w:hAnsi="Calibri"/>
          <w:sz w:val="21"/>
          <w:szCs w:val="21"/>
        </w:rPr>
        <w:t xml:space="preserve">Automatic merging of any pull request</w:t>
      </w:r>
    </w:p>
    <w:p>
      <w:pPr>
        <w:pStyle w:val="ListParagraph"/>
        <w:numPr>
          <w:ilvl w:val="0"/>
          <w:numId w:val="2"/>
        </w:numPr>
        <w:spacing w:after="80" w:line="276"/>
      </w:pPr>
      <w:r>
        <w:rPr>
          <w:rFonts w:ascii="Calibri" w:cs="Calibri" w:eastAsia="Calibri" w:hAnsi="Calibri"/>
          <w:sz w:val="21"/>
          <w:szCs w:val="21"/>
        </w:rPr>
        <w:t xml:space="preserve">Automatic modification of application source code</w:t>
      </w:r>
    </w:p>
    <w:p>
      <w:pPr>
        <w:spacing w:after="120" w:line="276"/>
      </w:pPr>
      <w:r>
        <w:rPr>
          <w:rFonts w:ascii="Calibri" w:cs="Calibri" w:eastAsia="Calibri" w:hAnsi="Calibri"/>
          <w:sz w:val="21"/>
          <w:szCs w:val="21"/>
        </w:rPr>
        <w:t xml:space="preserve">The platform influences how code is proposed. It does not approve, merge, or deploy anything.</w:t>
      </w:r>
    </w:p>
    <w:p>
      <w:pPr>
        <w:pStyle w:val="Heading1"/>
        <w:spacing w:after="140" w:before="280"/>
      </w:pPr>
      <w:r>
        <w:rPr>
          <w:rFonts w:ascii="Calibri" w:cs="Calibri" w:eastAsia="Calibri" w:hAnsi="Calibri"/>
          <w:b/>
          <w:bCs/>
          <w:color w:val="1F3864"/>
        </w:rPr>
        <w:t xml:space="preserve">3. System Overview</w:t>
      </w:r>
    </w:p>
    <w:p>
      <w:pPr>
        <w:spacing w:after="120" w:line="276"/>
      </w:pPr>
      <w:r>
        <w:rPr>
          <w:rFonts w:ascii="Calibri" w:cs="Calibri" w:eastAsia="Calibri" w:hAnsi="Calibri"/>
          <w:sz w:val="21"/>
          <w:szCs w:val="21"/>
        </w:rPr>
        <w:t xml:space="preserve">The repository is a content and automation system. It contains no application code and runs no always-on service. It has three operating modes.</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1700"/>
        <w:gridCol w:w="2200"/>
        <w:gridCol w:w="5460"/>
      </w:tblGrid>
      <w:tr>
        <w:trPr>
          <w:tblHeader/>
        </w:trPr>
        <w:tc>
          <w:tcPr>
            <w:tcW w:type="dxa" w:w="17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Mode</w:t>
            </w:r>
          </w:p>
        </w:tc>
        <w:tc>
          <w:tcPr>
            <w:tcW w:type="dxa" w:w="22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Where it runs</w:t>
            </w:r>
          </w:p>
        </w:tc>
        <w:tc>
          <w:tcPr>
            <w:tcW w:type="dxa" w:w="54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Function</w:t>
            </w:r>
          </w:p>
        </w:tc>
      </w:tr>
      <w:tr>
        <w:tc>
          <w:tcPr>
            <w:tcW w:type="dxa" w:w="1700"/>
            <w:tcMar>
              <w:top w:type="dxa" w:w="60"/>
              <w:left w:type="dxa" w:w="110"/>
              <w:bottom w:type="dxa" w:w="60"/>
              <w:right w:type="dxa" w:w="110"/>
            </w:tcMar>
          </w:tcPr>
          <w:p>
            <w:pPr>
              <w:spacing w:after="0" w:line="252"/>
            </w:pPr>
            <w:r>
              <w:rPr>
                <w:rFonts w:ascii="Calibri" w:cs="Calibri" w:eastAsia="Calibri" w:hAnsi="Calibri"/>
                <w:sz w:val="19"/>
                <w:szCs w:val="19"/>
              </w:rPr>
              <w:t xml:space="preserve">Local CLI</w:t>
            </w:r>
          </w:p>
        </w:tc>
        <w:tc>
          <w:tcPr>
            <w:tcW w:type="dxa" w:w="2200"/>
            <w:tcMar>
              <w:top w:type="dxa" w:w="60"/>
              <w:left w:type="dxa" w:w="110"/>
              <w:bottom w:type="dxa" w:w="60"/>
              <w:right w:type="dxa" w:w="110"/>
            </w:tcMar>
          </w:tcPr>
          <w:p>
            <w:pPr>
              <w:spacing w:after="0" w:line="252"/>
            </w:pPr>
            <w:r>
              <w:rPr>
                <w:rFonts w:ascii="Calibri" w:cs="Calibri" w:eastAsia="Calibri" w:hAnsi="Calibri"/>
                <w:sz w:val="19"/>
                <w:szCs w:val="19"/>
              </w:rPr>
              <w:t xml:space="preserve">Developer workstation</w:t>
            </w:r>
          </w:p>
        </w:tc>
        <w:tc>
          <w:tcPr>
            <w:tcW w:type="dxa" w:w="5460"/>
            <w:tcMar>
              <w:top w:type="dxa" w:w="60"/>
              <w:left w:type="dxa" w:w="110"/>
              <w:bottom w:type="dxa" w:w="60"/>
              <w:right w:type="dxa" w:w="110"/>
            </w:tcMar>
          </w:tcPr>
          <w:p>
            <w:pPr>
              <w:spacing w:after="0" w:line="252"/>
            </w:pPr>
            <w:r>
              <w:rPr>
                <w:rFonts w:ascii="Calibri" w:cs="Calibri" w:eastAsia="Calibri" w:hAnsi="Calibri"/>
                <w:sz w:val="19"/>
                <w:szCs w:val="19"/>
              </w:rPr>
              <w:t xml:space="preserve">Validate content, audit a codebase, preview a workflow, preview a governed prompt, review telemetry</w:t>
            </w:r>
          </w:p>
        </w:tc>
      </w:tr>
      <w:tr>
        <w:tc>
          <w:tcPr>
            <w:tcW w:type="dxa" w:w="1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GitHub automation</w:t>
            </w:r>
          </w:p>
        </w:tc>
        <w:tc>
          <w:tcPr>
            <w:tcW w:type="dxa" w:w="22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GitHub Actions</w:t>
            </w:r>
          </w:p>
        </w:tc>
        <w:tc>
          <w:tcPr>
            <w:tcW w:type="dxa" w:w="54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Validate, then distribute governance content to target repositories by pull request</w:t>
            </w:r>
          </w:p>
        </w:tc>
      </w:tr>
      <w:tr>
        <w:tc>
          <w:tcPr>
            <w:tcW w:type="dxa" w:w="1700"/>
            <w:tcMar>
              <w:top w:type="dxa" w:w="60"/>
              <w:left w:type="dxa" w:w="110"/>
              <w:bottom w:type="dxa" w:w="60"/>
              <w:right w:type="dxa" w:w="110"/>
            </w:tcMar>
          </w:tcPr>
          <w:p>
            <w:pPr>
              <w:spacing w:after="0" w:line="252"/>
            </w:pPr>
            <w:r>
              <w:rPr>
                <w:rFonts w:ascii="Calibri" w:cs="Calibri" w:eastAsia="Calibri" w:hAnsi="Calibri"/>
                <w:sz w:val="19"/>
                <w:szCs w:val="19"/>
              </w:rPr>
              <w:t xml:space="preserve">Prompt interception</w:t>
            </w:r>
          </w:p>
        </w:tc>
        <w:tc>
          <w:tcPr>
            <w:tcW w:type="dxa" w:w="2200"/>
            <w:tcMar>
              <w:top w:type="dxa" w:w="60"/>
              <w:left w:type="dxa" w:w="110"/>
              <w:bottom w:type="dxa" w:w="60"/>
              <w:right w:type="dxa" w:w="110"/>
            </w:tcMar>
          </w:tcPr>
          <w:p>
            <w:pPr>
              <w:spacing w:after="0" w:line="252"/>
            </w:pPr>
            <w:r>
              <w:rPr>
                <w:rFonts w:ascii="Calibri" w:cs="Calibri" w:eastAsia="Calibri" w:hAnsi="Calibri"/>
                <w:sz w:val="19"/>
                <w:szCs w:val="19"/>
              </w:rPr>
              <w:t xml:space="preserve">Developer IDE</w:t>
            </w:r>
          </w:p>
        </w:tc>
        <w:tc>
          <w:tcPr>
            <w:tcW w:type="dxa" w:w="5460"/>
            <w:tcMar>
              <w:top w:type="dxa" w:w="60"/>
              <w:left w:type="dxa" w:w="110"/>
              <w:bottom w:type="dxa" w:w="60"/>
              <w:right w:type="dxa" w:w="110"/>
            </w:tcMar>
          </w:tcPr>
          <w:p>
            <w:pPr>
              <w:spacing w:after="0" w:line="252"/>
            </w:pPr>
            <w:r>
              <w:rPr>
                <w:rFonts w:ascii="Calibri" w:cs="Calibri" w:eastAsia="Calibri" w:hAnsi="Calibri"/>
                <w:sz w:val="19"/>
                <w:szCs w:val="19"/>
              </w:rPr>
              <w:t xml:space="preserve">Rewrite each submitted prompt against the governance core before the model receives it</w:t>
            </w:r>
          </w:p>
        </w:tc>
      </w:tr>
    </w:tbl>
    <w:p>
      <w:pPr>
        <w:spacing w:after="160"/>
      </w:pPr>
    </w:p>
    <w:p>
      <w:pPr>
        <w:spacing w:after="120" w:line="276"/>
      </w:pPr>
      <w:r>
        <w:rPr>
          <w:rFonts w:ascii="Calibri" w:cs="Calibri" w:eastAsia="Calibri" w:hAnsi="Calibri"/>
          <w:sz w:val="21"/>
          <w:szCs w:val="21"/>
        </w:rPr>
        <w:t xml:space="preserve">Content is authored once in this repository, reviewed under CODEOWNERS control, and propagated outward. Nothing is edited directly in a downstream repository.</w:t>
      </w:r>
    </w:p>
    <w:p>
      <w:pPr>
        <w:pStyle w:val="Heading1"/>
        <w:spacing w:after="140" w:before="280"/>
      </w:pPr>
      <w:r>
        <w:rPr>
          <w:rFonts w:ascii="Calibri" w:cs="Calibri" w:eastAsia="Calibri" w:hAnsi="Calibri"/>
          <w:b/>
          <w:bCs/>
          <w:color w:val="1F3864"/>
        </w:rPr>
        <w:t xml:space="preserve">4. Functional Description</w:t>
      </w:r>
    </w:p>
    <w:p>
      <w:pPr>
        <w:pStyle w:val="Heading2"/>
        <w:spacing w:after="140" w:before="280"/>
      </w:pPr>
      <w:r>
        <w:rPr>
          <w:rFonts w:ascii="Calibri" w:cs="Calibri" w:eastAsia="Calibri" w:hAnsi="Calibri"/>
          <w:b/>
          <w:bCs/>
          <w:color w:val="1F3864"/>
        </w:rPr>
        <w:t xml:space="preserve">4.1 Central governance content</w:t>
      </w:r>
    </w:p>
    <w:p>
      <w:pPr>
        <w:spacing w:after="120" w:line="276"/>
      </w:pPr>
      <w:r>
        <w:rPr>
          <w:rFonts w:ascii="Calibri" w:cs="Calibri" w:eastAsia="Calibri" w:hAnsi="Calibri"/>
          <w:sz w:val="21"/>
          <w:szCs w:val="21"/>
        </w:rPr>
        <w:t xml:space="preserve">Three categories of content are authored centrally.</w:t>
      </w:r>
    </w:p>
    <w:p>
      <w:pPr>
        <w:spacing w:after="120" w:line="276"/>
      </w:pPr>
      <w:r>
        <w:rPr>
          <w:rFonts w:ascii="Calibri" w:cs="Calibri" w:eastAsia="Calibri" w:hAnsi="Calibri"/>
          <w:b/>
          <w:bCs/>
          <w:sz w:val="21"/>
          <w:szCs w:val="21"/>
        </w:rPr>
        <w:t xml:space="preserve">Base instruction template. </w:t>
      </w:r>
      <w:r>
        <w:rPr>
          <w:rFonts w:ascii="Calibri" w:cs="Calibri" w:eastAsia="Calibri" w:hAnsi="Calibri"/>
          <w:sz w:val="21"/>
          <w:szCs w:val="21"/>
        </w:rPr>
        <w:t xml:space="preserve">A single file that Copilot loads on every request in a governed repository. It is deliberately small, because its cost is incurred on every interaction. It carries the operating posture, direction to the detailed instruction files, and the rule governing repository-level overrides. The file is divided by markers into a centrally managed section and a repository override section.</w:t>
      </w:r>
    </w:p>
    <w:p>
      <w:pPr>
        <w:spacing w:after="120" w:line="276"/>
      </w:pPr>
      <w:r>
        <w:rPr>
          <w:rFonts w:ascii="Calibri" w:cs="Calibri" w:eastAsia="Calibri" w:hAnsi="Calibri"/>
          <w:b/>
          <w:bCs/>
          <w:sz w:val="21"/>
          <w:szCs w:val="21"/>
        </w:rPr>
        <w:t xml:space="preserve">Path-specific instruction packs. </w:t>
      </w:r>
      <w:r>
        <w:rPr>
          <w:rFonts w:ascii="Calibri" w:cs="Calibri" w:eastAsia="Calibri" w:hAnsi="Calibri"/>
          <w:sz w:val="21"/>
          <w:szCs w:val="21"/>
        </w:rPr>
        <w:t xml:space="preserve">Nine files, each declaring the file types it applies to. Copilot injects a pack automatically when the developer is working on a matching file, so a React developer receives React standards and a Java developer receives Java standards, without either having to ask.</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200"/>
        <w:gridCol w:w="6160"/>
      </w:tblGrid>
      <w:tr>
        <w:trPr>
          <w:tblHeader/>
        </w:trPr>
        <w:tc>
          <w:tcPr>
            <w:tcW w:type="dxa" w:w="32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Instruction pack</w:t>
            </w:r>
          </w:p>
        </w:tc>
        <w:tc>
          <w:tcPr>
            <w:tcW w:type="dxa" w:w="61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Applies to</w:t>
            </w:r>
          </w:p>
        </w:tc>
      </w:tr>
      <w:tr>
        <w:tc>
          <w:tcPr>
            <w:tcW w:type="dxa" w:w="3200"/>
            <w:tcMar>
              <w:top w:type="dxa" w:w="60"/>
              <w:left w:type="dxa" w:w="110"/>
              <w:bottom w:type="dxa" w:w="60"/>
              <w:right w:type="dxa" w:w="110"/>
            </w:tcMar>
          </w:tcPr>
          <w:p>
            <w:pPr>
              <w:spacing w:after="0" w:line="252"/>
            </w:pPr>
            <w:r>
              <w:rPr>
                <w:rFonts w:ascii="Calibri" w:cs="Calibri" w:eastAsia="Calibri" w:hAnsi="Calibri"/>
                <w:sz w:val="19"/>
                <w:szCs w:val="19"/>
              </w:rPr>
              <w:t xml:space="preserve">security</w:t>
            </w:r>
          </w:p>
        </w:tc>
        <w:tc>
          <w:tcPr>
            <w:tcW w:type="dxa" w:w="6160"/>
            <w:tcMar>
              <w:top w:type="dxa" w:w="60"/>
              <w:left w:type="dxa" w:w="110"/>
              <w:bottom w:type="dxa" w:w="60"/>
              <w:right w:type="dxa" w:w="110"/>
            </w:tcMar>
          </w:tcPr>
          <w:p>
            <w:pPr>
              <w:spacing w:after="0" w:line="252"/>
            </w:pPr>
            <w:r>
              <w:rPr>
                <w:rFonts w:ascii="Calibri" w:cs="Calibri" w:eastAsia="Calibri" w:hAnsi="Calibri"/>
                <w:sz w:val="19"/>
                <w:szCs w:val="19"/>
              </w:rPr>
              <w:t xml:space="preserve">All files</w:t>
            </w:r>
          </w:p>
        </w:tc>
      </w:tr>
      <w:tr>
        <w:tc>
          <w:tcPr>
            <w:tcW w:type="dxa" w:w="32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code-quality</w:t>
            </w:r>
          </w:p>
        </w:tc>
        <w:tc>
          <w:tcPr>
            <w:tcW w:type="dxa" w:w="6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All files</w:t>
            </w:r>
          </w:p>
        </w:tc>
      </w:tr>
      <w:tr>
        <w:tc>
          <w:tcPr>
            <w:tcW w:type="dxa" w:w="3200"/>
            <w:tcMar>
              <w:top w:type="dxa" w:w="60"/>
              <w:left w:type="dxa" w:w="110"/>
              <w:bottom w:type="dxa" w:w="60"/>
              <w:right w:type="dxa" w:w="110"/>
            </w:tcMar>
          </w:tcPr>
          <w:p>
            <w:pPr>
              <w:spacing w:after="0" w:line="252"/>
            </w:pPr>
            <w:r>
              <w:rPr>
                <w:rFonts w:ascii="Calibri" w:cs="Calibri" w:eastAsia="Calibri" w:hAnsi="Calibri"/>
                <w:sz w:val="19"/>
                <w:szCs w:val="19"/>
              </w:rPr>
              <w:t xml:space="preserve">migration</w:t>
            </w:r>
          </w:p>
        </w:tc>
        <w:tc>
          <w:tcPr>
            <w:tcW w:type="dxa" w:w="6160"/>
            <w:tcMar>
              <w:top w:type="dxa" w:w="60"/>
              <w:left w:type="dxa" w:w="110"/>
              <w:bottom w:type="dxa" w:w="60"/>
              <w:right w:type="dxa" w:w="110"/>
            </w:tcMar>
          </w:tcPr>
          <w:p>
            <w:pPr>
              <w:spacing w:after="0" w:line="252"/>
            </w:pPr>
            <w:r>
              <w:rPr>
                <w:rFonts w:ascii="Calibri" w:cs="Calibri" w:eastAsia="Calibri" w:hAnsi="Calibri"/>
                <w:sz w:val="19"/>
                <w:szCs w:val="19"/>
              </w:rPr>
              <w:t xml:space="preserve">All files</w:t>
            </w:r>
          </w:p>
        </w:tc>
      </w:tr>
      <w:tr>
        <w:tc>
          <w:tcPr>
            <w:tcW w:type="dxa" w:w="32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pr-review</w:t>
            </w:r>
          </w:p>
        </w:tc>
        <w:tc>
          <w:tcPr>
            <w:tcW w:type="dxa" w:w="6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All files</w:t>
            </w:r>
          </w:p>
        </w:tc>
      </w:tr>
      <w:tr>
        <w:tc>
          <w:tcPr>
            <w:tcW w:type="dxa" w:w="3200"/>
            <w:tcMar>
              <w:top w:type="dxa" w:w="60"/>
              <w:left w:type="dxa" w:w="110"/>
              <w:bottom w:type="dxa" w:w="60"/>
              <w:right w:type="dxa" w:w="110"/>
            </w:tcMar>
          </w:tcPr>
          <w:p>
            <w:pPr>
              <w:spacing w:after="0" w:line="252"/>
            </w:pPr>
            <w:r>
              <w:rPr>
                <w:rFonts w:ascii="Calibri" w:cs="Calibri" w:eastAsia="Calibri" w:hAnsi="Calibri"/>
                <w:sz w:val="19"/>
                <w:szCs w:val="19"/>
              </w:rPr>
              <w:t xml:space="preserve">react</w:t>
            </w:r>
          </w:p>
        </w:tc>
        <w:tc>
          <w:tcPr>
            <w:tcW w:type="dxa" w:w="6160"/>
            <w:tcMar>
              <w:top w:type="dxa" w:w="60"/>
              <w:left w:type="dxa" w:w="110"/>
              <w:bottom w:type="dxa" w:w="60"/>
              <w:right w:type="dxa" w:w="110"/>
            </w:tcMar>
          </w:tcPr>
          <w:p>
            <w:pPr>
              <w:spacing w:after="0" w:line="252"/>
            </w:pPr>
            <w:r>
              <w:rPr>
                <w:rFonts w:ascii="Calibri" w:cs="Calibri" w:eastAsia="Calibri" w:hAnsi="Calibri"/>
                <w:sz w:val="19"/>
                <w:szCs w:val="19"/>
              </w:rPr>
              <w:t xml:space="preserve">React component files</w:t>
            </w:r>
          </w:p>
        </w:tc>
      </w:tr>
      <w:tr>
        <w:tc>
          <w:tcPr>
            <w:tcW w:type="dxa" w:w="32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angular-v12</w:t>
            </w:r>
          </w:p>
        </w:tc>
        <w:tc>
          <w:tcPr>
            <w:tcW w:type="dxa" w:w="6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Angular source, template and style files</w:t>
            </w:r>
          </w:p>
        </w:tc>
      </w:tr>
      <w:tr>
        <w:tc>
          <w:tcPr>
            <w:tcW w:type="dxa" w:w="3200"/>
            <w:tcMar>
              <w:top w:type="dxa" w:w="60"/>
              <w:left w:type="dxa" w:w="110"/>
              <w:bottom w:type="dxa" w:w="60"/>
              <w:right w:type="dxa" w:w="110"/>
            </w:tcMar>
          </w:tcPr>
          <w:p>
            <w:pPr>
              <w:spacing w:after="0" w:line="252"/>
            </w:pPr>
            <w:r>
              <w:rPr>
                <w:rFonts w:ascii="Calibri" w:cs="Calibri" w:eastAsia="Calibri" w:hAnsi="Calibri"/>
                <w:sz w:val="19"/>
                <w:szCs w:val="19"/>
              </w:rPr>
              <w:t xml:space="preserve">angular-v21</w:t>
            </w:r>
          </w:p>
        </w:tc>
        <w:tc>
          <w:tcPr>
            <w:tcW w:type="dxa" w:w="6160"/>
            <w:tcMar>
              <w:top w:type="dxa" w:w="60"/>
              <w:left w:type="dxa" w:w="110"/>
              <w:bottom w:type="dxa" w:w="60"/>
              <w:right w:type="dxa" w:w="110"/>
            </w:tcMar>
          </w:tcPr>
          <w:p>
            <w:pPr>
              <w:spacing w:after="0" w:line="252"/>
            </w:pPr>
            <w:r>
              <w:rPr>
                <w:rFonts w:ascii="Calibri" w:cs="Calibri" w:eastAsia="Calibri" w:hAnsi="Calibri"/>
                <w:sz w:val="19"/>
                <w:szCs w:val="19"/>
              </w:rPr>
              <w:t xml:space="preserve">Angular source, template and style files</w:t>
            </w:r>
          </w:p>
        </w:tc>
      </w:tr>
      <w:tr>
        <w:tc>
          <w:tcPr>
            <w:tcW w:type="dxa" w:w="32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java-springboot</w:t>
            </w:r>
          </w:p>
        </w:tc>
        <w:tc>
          <w:tcPr>
            <w:tcW w:type="dxa" w:w="6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Java files</w:t>
            </w:r>
          </w:p>
        </w:tc>
      </w:tr>
      <w:tr>
        <w:tc>
          <w:tcPr>
            <w:tcW w:type="dxa" w:w="3200"/>
            <w:tcMar>
              <w:top w:type="dxa" w:w="60"/>
              <w:left w:type="dxa" w:w="110"/>
              <w:bottom w:type="dxa" w:w="60"/>
              <w:right w:type="dxa" w:w="110"/>
            </w:tcMar>
          </w:tcPr>
          <w:p>
            <w:pPr>
              <w:spacing w:after="0" w:line="252"/>
            </w:pPr>
            <w:r>
              <w:rPr>
                <w:rFonts w:ascii="Calibri" w:cs="Calibri" w:eastAsia="Calibri" w:hAnsi="Calibri"/>
                <w:sz w:val="19"/>
                <w:szCs w:val="19"/>
              </w:rPr>
              <w:t xml:space="preserve">testing</w:t>
            </w:r>
          </w:p>
        </w:tc>
        <w:tc>
          <w:tcPr>
            <w:tcW w:type="dxa" w:w="6160"/>
            <w:tcMar>
              <w:top w:type="dxa" w:w="60"/>
              <w:left w:type="dxa" w:w="110"/>
              <w:bottom w:type="dxa" w:w="60"/>
              <w:right w:type="dxa" w:w="110"/>
            </w:tcMar>
          </w:tcPr>
          <w:p>
            <w:pPr>
              <w:spacing w:after="0" w:line="252"/>
            </w:pPr>
            <w:r>
              <w:rPr>
                <w:rFonts w:ascii="Calibri" w:cs="Calibri" w:eastAsia="Calibri" w:hAnsi="Calibri"/>
                <w:sz w:val="19"/>
                <w:szCs w:val="19"/>
              </w:rPr>
              <w:t xml:space="preserve">JavaScript, TypeScript and Java files</w:t>
            </w:r>
          </w:p>
        </w:tc>
      </w:tr>
    </w:tbl>
    <w:p>
      <w:pPr>
        <w:spacing w:after="160"/>
      </w:pPr>
    </w:p>
    <w:p>
      <w:pPr>
        <w:spacing w:after="120" w:line="276"/>
      </w:pPr>
      <w:r>
        <w:rPr>
          <w:rFonts w:ascii="Calibri" w:cs="Calibri" w:eastAsia="Calibri" w:hAnsi="Calibri"/>
          <w:b/>
          <w:bCs/>
          <w:sz w:val="21"/>
          <w:szCs w:val="21"/>
        </w:rPr>
        <w:t xml:space="preserve">Prompt workflows. </w:t>
      </w:r>
      <w:r>
        <w:rPr>
          <w:rFonts w:ascii="Calibri" w:cs="Calibri" w:eastAsia="Calibri" w:hAnsi="Calibri"/>
          <w:sz w:val="21"/>
          <w:szCs w:val="21"/>
        </w:rPr>
        <w:t xml:space="preserve">Fourteen structured, reusable procedures for recurring engineering tasks. Each states the applicable instruction file, the task, non-negotiable rules, a table mapping the problem type to the approved fix and the prohibited alternative, the verification required afterwards, and an explicit list of behaviours to refuse. These are the procedures the interception layer applies automatically.</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500"/>
        <w:gridCol w:w="6860"/>
      </w:tblGrid>
      <w:tr>
        <w:trPr>
          <w:tblHeader/>
        </w:trPr>
        <w:tc>
          <w:tcPr>
            <w:tcW w:type="dxa" w:w="2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Category</w:t>
            </w:r>
          </w:p>
        </w:tc>
        <w:tc>
          <w:tcPr>
            <w:tcW w:type="dxa" w:w="68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Workflows</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Security</w:t>
            </w:r>
          </w:p>
        </w:tc>
        <w:tc>
          <w:tcPr>
            <w:tcW w:type="dxa" w:w="6860"/>
            <w:tcMar>
              <w:top w:type="dxa" w:w="60"/>
              <w:left w:type="dxa" w:w="110"/>
              <w:bottom w:type="dxa" w:w="60"/>
              <w:right w:type="dxa" w:w="110"/>
            </w:tcMar>
          </w:tcPr>
          <w:p>
            <w:pPr>
              <w:spacing w:after="0" w:line="252"/>
            </w:pPr>
            <w:r>
              <w:rPr>
                <w:rFonts w:ascii="Calibri" w:cs="Calibri" w:eastAsia="Calibri" w:hAnsi="Calibri"/>
                <w:sz w:val="19"/>
                <w:szCs w:val="19"/>
              </w:rPr>
              <w:t xml:space="preserve">fix-security-finding, fix-java-springboot-security</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Code quality</w:t>
            </w:r>
          </w:p>
        </w:tc>
        <w:tc>
          <w:tcPr>
            <w:tcW w:type="dxa" w:w="6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fix-sonarqube-issue, fix-eslint-issue, fix-console-logs, fix-react-code-quality</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Build and type safety</w:t>
            </w:r>
          </w:p>
        </w:tc>
        <w:tc>
          <w:tcPr>
            <w:tcW w:type="dxa" w:w="6860"/>
            <w:tcMar>
              <w:top w:type="dxa" w:w="60"/>
              <w:left w:type="dxa" w:w="110"/>
              <w:bottom w:type="dxa" w:w="60"/>
              <w:right w:type="dxa" w:w="110"/>
            </w:tcMar>
          </w:tcPr>
          <w:p>
            <w:pPr>
              <w:spacing w:after="0" w:line="252"/>
            </w:pPr>
            <w:r>
              <w:rPr>
                <w:rFonts w:ascii="Calibri" w:cs="Calibri" w:eastAsia="Calibri" w:hAnsi="Calibri"/>
                <w:sz w:val="19"/>
                <w:szCs w:val="19"/>
              </w:rPr>
              <w:t xml:space="preserve">fix-build-failure, fix-typescript-error</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Testing</w:t>
            </w:r>
          </w:p>
        </w:tc>
        <w:tc>
          <w:tcPr>
            <w:tcW w:type="dxa" w:w="6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generate-unit-tests, fix-test-failure</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Change management</w:t>
            </w:r>
          </w:p>
        </w:tc>
        <w:tc>
          <w:tcPr>
            <w:tcW w:type="dxa" w:w="6860"/>
            <w:tcMar>
              <w:top w:type="dxa" w:w="60"/>
              <w:left w:type="dxa" w:w="110"/>
              <w:bottom w:type="dxa" w:w="60"/>
              <w:right w:type="dxa" w:w="110"/>
            </w:tcMar>
          </w:tcPr>
          <w:p>
            <w:pPr>
              <w:spacing w:after="0" w:line="252"/>
            </w:pPr>
            <w:r>
              <w:rPr>
                <w:rFonts w:ascii="Calibri" w:cs="Calibri" w:eastAsia="Calibri" w:hAnsi="Calibri"/>
                <w:sz w:val="19"/>
                <w:szCs w:val="19"/>
              </w:rPr>
              <w:t xml:space="preserve">fix-pr-review, fix-angular-migration</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Comprehension</w:t>
            </w:r>
          </w:p>
        </w:tc>
        <w:tc>
          <w:tcPr>
            <w:tcW w:type="dxa" w:w="6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explain-legacy-code, document-repo</w:t>
            </w:r>
          </w:p>
        </w:tc>
      </w:tr>
    </w:tbl>
    <w:p>
      <w:pPr>
        <w:pStyle w:val="Heading2"/>
        <w:spacing w:after="140" w:before="280"/>
      </w:pPr>
      <w:r>
        <w:rPr>
          <w:rFonts w:ascii="Calibri" w:cs="Calibri" w:eastAsia="Calibri" w:hAnsi="Calibri"/>
          <w:b/>
          <w:bCs/>
          <w:color w:val="1F3864"/>
        </w:rPr>
        <w:t xml:space="preserve">4.2 Distribution</w:t>
      </w:r>
    </w:p>
    <w:p>
      <w:pPr>
        <w:spacing w:after="120" w:line="276"/>
      </w:pPr>
      <w:r>
        <w:rPr>
          <w:rFonts w:ascii="Calibri" w:cs="Calibri" w:eastAsia="Calibri" w:hAnsi="Calibri"/>
          <w:sz w:val="21"/>
          <w:szCs w:val="21"/>
        </w:rPr>
        <w:t xml:space="preserve">The distribution engine propagates central content to each repository listed in the target register. For every repository it performs the following sequence.</w:t>
      </w:r>
    </w:p>
    <w:p>
      <w:pPr>
        <w:pStyle w:val="ListParagraph"/>
        <w:numPr>
          <w:ilvl w:val="0"/>
          <w:numId w:val="2"/>
        </w:numPr>
        <w:spacing w:after="80" w:line="276"/>
      </w:pPr>
      <w:r>
        <w:rPr>
          <w:rFonts w:ascii="Calibri" w:cs="Calibri" w:eastAsia="Calibri" w:hAnsi="Calibri"/>
          <w:sz w:val="21"/>
          <w:szCs w:val="21"/>
        </w:rPr>
        <w:t xml:space="preserve">Clones the repository at shallow depth into a temporary working area</w:t>
      </w:r>
    </w:p>
    <w:p>
      <w:pPr>
        <w:pStyle w:val="ListParagraph"/>
        <w:numPr>
          <w:ilvl w:val="0"/>
          <w:numId w:val="2"/>
        </w:numPr>
        <w:spacing w:after="80" w:line="276"/>
      </w:pPr>
      <w:r>
        <w:rPr>
          <w:rFonts w:ascii="Calibri" w:cs="Calibri" w:eastAsia="Calibri" w:hAnsi="Calibri"/>
          <w:sz w:val="21"/>
          <w:szCs w:val="21"/>
        </w:rPr>
        <w:t xml:space="preserve">Detects the repository override section and preserves its contents verbatim</w:t>
      </w:r>
    </w:p>
    <w:p>
      <w:pPr>
        <w:pStyle w:val="ListParagraph"/>
        <w:numPr>
          <w:ilvl w:val="0"/>
          <w:numId w:val="2"/>
        </w:numPr>
        <w:spacing w:after="80" w:line="276"/>
      </w:pPr>
      <w:r>
        <w:rPr>
          <w:rFonts w:ascii="Calibri" w:cs="Calibri" w:eastAsia="Calibri" w:hAnsi="Calibri"/>
          <w:sz w:val="21"/>
          <w:szCs w:val="21"/>
        </w:rPr>
        <w:t xml:space="preserve">Refuses to proceed if the override markers are duplicated, rather than risk corrupting local content</w:t>
      </w:r>
    </w:p>
    <w:p>
      <w:pPr>
        <w:pStyle w:val="ListParagraph"/>
        <w:numPr>
          <w:ilvl w:val="0"/>
          <w:numId w:val="2"/>
        </w:numPr>
        <w:spacing w:after="80" w:line="276"/>
      </w:pPr>
      <w:r>
        <w:rPr>
          <w:rFonts w:ascii="Calibri" w:cs="Calibri" w:eastAsia="Calibri" w:hAnsi="Calibri"/>
          <w:sz w:val="21"/>
          <w:szCs w:val="21"/>
        </w:rPr>
        <w:t xml:space="preserve">Wraps any pre-existing, unmarked instruction file into the override section so no prior work is lost</w:t>
      </w:r>
    </w:p>
    <w:p>
      <w:pPr>
        <w:pStyle w:val="ListParagraph"/>
        <w:numPr>
          <w:ilvl w:val="0"/>
          <w:numId w:val="2"/>
        </w:numPr>
        <w:spacing w:after="80" w:line="276"/>
      </w:pPr>
      <w:r>
        <w:rPr>
          <w:rFonts w:ascii="Calibri" w:cs="Calibri" w:eastAsia="Calibri" w:hAnsi="Calibri"/>
          <w:sz w:val="21"/>
          <w:szCs w:val="21"/>
        </w:rPr>
        <w:t xml:space="preserve">Writes the current central baseline above the preserved override section</w:t>
      </w:r>
    </w:p>
    <w:p>
      <w:pPr>
        <w:pStyle w:val="ListParagraph"/>
        <w:numPr>
          <w:ilvl w:val="0"/>
          <w:numId w:val="2"/>
        </w:numPr>
        <w:spacing w:after="80" w:line="276"/>
      </w:pPr>
      <w:r>
        <w:rPr>
          <w:rFonts w:ascii="Calibri" w:cs="Calibri" w:eastAsia="Calibri" w:hAnsi="Calibri"/>
          <w:sz w:val="21"/>
          <w:szCs w:val="21"/>
        </w:rPr>
        <w:t xml:space="preserve">Copies the instruction packs, prompt workflows, and interception components into place</w:t>
      </w:r>
    </w:p>
    <w:p>
      <w:pPr>
        <w:pStyle w:val="ListParagraph"/>
        <w:numPr>
          <w:ilvl w:val="0"/>
          <w:numId w:val="2"/>
        </w:numPr>
        <w:spacing w:after="80" w:line="276"/>
      </w:pPr>
      <w:r>
        <w:rPr>
          <w:rFonts w:ascii="Calibri" w:cs="Calibri" w:eastAsia="Calibri" w:hAnsi="Calibri"/>
          <w:sz w:val="21"/>
          <w:szCs w:val="21"/>
        </w:rPr>
        <w:t xml:space="preserve">Removes files that the platform previously supplied and has since retired, while leaving untouched any file the repository team added itself</w:t>
      </w:r>
    </w:p>
    <w:p>
      <w:pPr>
        <w:pStyle w:val="ListParagraph"/>
        <w:numPr>
          <w:ilvl w:val="0"/>
          <w:numId w:val="2"/>
        </w:numPr>
        <w:spacing w:after="80" w:line="276"/>
      </w:pPr>
      <w:r>
        <w:rPr>
          <w:rFonts w:ascii="Calibri" w:cs="Calibri" w:eastAsia="Calibri" w:hAnsi="Calibri"/>
          <w:sz w:val="21"/>
          <w:szCs w:val="21"/>
        </w:rPr>
        <w:t xml:space="preserve">Opens or updates a pull request against the default branch</w:t>
      </w:r>
    </w:p>
    <w:p>
      <w:pPr>
        <w:spacing w:after="80"/>
      </w:pPr>
    </w:p>
    <w:p>
      <w:pPr>
        <w:spacing w:after="120" w:line="276"/>
      </w:pPr>
      <w:r>
        <w:rPr>
          <w:rFonts w:ascii="Calibri" w:cs="Calibri" w:eastAsia="Calibri" w:hAnsi="Calibri"/>
          <w:sz w:val="21"/>
          <w:szCs w:val="21"/>
        </w:rPr>
        <w:t xml:space="preserve">The engine never commits directly to a default branch. Every change reaches a repository through review. A per-repository record of supplied files is maintained so that retirement is precise rather than destructive.</w:t>
      </w:r>
    </w:p>
    <w:p>
      <w:pPr>
        <w:pStyle w:val="Heading2"/>
        <w:spacing w:after="140" w:before="280"/>
      </w:pPr>
      <w:r>
        <w:rPr>
          <w:rFonts w:ascii="Calibri" w:cs="Calibri" w:eastAsia="Calibri" w:hAnsi="Calibri"/>
          <w:b/>
          <w:bCs/>
          <w:color w:val="1F3864"/>
        </w:rPr>
        <w:t xml:space="preserve">4.3 Automation</w:t>
      </w:r>
    </w:p>
    <w:p>
      <w:pPr>
        <w:spacing w:after="120" w:line="276"/>
      </w:pPr>
      <w:r>
        <w:rPr>
          <w:rFonts w:ascii="Calibri" w:cs="Calibri" w:eastAsia="Calibri" w:hAnsi="Calibri"/>
          <w:sz w:val="21"/>
          <w:szCs w:val="21"/>
        </w:rPr>
        <w:t xml:space="preserve">Distribution is triggered from GitHub Actions under three conditions: a change to governance content on the main branch; a manual run, optionally targeting a single repository; and a weekly scheduled run that acts as a safety net where a previous pull request was closed or left unattended. Validation runs before distribution, and distribution does not proceed if validation fails. Runs are serialised so that two distributions cannot overlap.</w:t>
      </w:r>
    </w:p>
    <w:p>
      <w:pPr>
        <w:pStyle w:val="Heading2"/>
        <w:spacing w:after="140" w:before="280"/>
      </w:pPr>
      <w:r>
        <w:rPr>
          <w:rFonts w:ascii="Calibri" w:cs="Calibri" w:eastAsia="Calibri" w:hAnsi="Calibri"/>
          <w:b/>
          <w:bCs/>
          <w:color w:val="1F3864"/>
        </w:rPr>
        <w:t xml:space="preserve">4.4 Validation and quality gates</w:t>
      </w:r>
    </w:p>
    <w:p>
      <w:pPr>
        <w:spacing w:after="120" w:line="276"/>
      </w:pPr>
      <w:r>
        <w:rPr>
          <w:rFonts w:ascii="Calibri" w:cs="Calibri" w:eastAsia="Calibri" w:hAnsi="Calibri"/>
          <w:sz w:val="21"/>
          <w:szCs w:val="21"/>
        </w:rPr>
        <w:t xml:space="preserve">A validation routine runs locally, optionally as a pre-commit hook, and as a mandatory step in automation. It enforces the following.</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600"/>
        <w:gridCol w:w="5760"/>
      </w:tblGrid>
      <w:tr>
        <w:trPr>
          <w:tblHeader/>
        </w:trPr>
        <w:tc>
          <w:tcPr>
            <w:tcW w:type="dxa" w:w="36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Check</w:t>
            </w:r>
          </w:p>
        </w:tc>
        <w:tc>
          <w:tcPr>
            <w:tcW w:type="dxa" w:w="57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Purpose</w:t>
            </w:r>
          </w:p>
        </w:tc>
      </w:tr>
      <w:tr>
        <w:tc>
          <w:tcPr>
            <w:tcW w:type="dxa" w:w="3600"/>
            <w:tcMar>
              <w:top w:type="dxa" w:w="60"/>
              <w:left w:type="dxa" w:w="110"/>
              <w:bottom w:type="dxa" w:w="60"/>
              <w:right w:type="dxa" w:w="110"/>
            </w:tcMar>
          </w:tcPr>
          <w:p>
            <w:pPr>
              <w:spacing w:after="0" w:line="252"/>
            </w:pPr>
            <w:r>
              <w:rPr>
                <w:rFonts w:ascii="Calibri" w:cs="Calibri" w:eastAsia="Calibri" w:hAnsi="Calibri"/>
                <w:sz w:val="19"/>
                <w:szCs w:val="19"/>
              </w:rPr>
              <w:t xml:space="preserve">Required tooling present</w:t>
            </w:r>
          </w:p>
        </w:tc>
        <w:tc>
          <w:tcPr>
            <w:tcW w:type="dxa" w:w="5760"/>
            <w:tcMar>
              <w:top w:type="dxa" w:w="60"/>
              <w:left w:type="dxa" w:w="110"/>
              <w:bottom w:type="dxa" w:w="60"/>
              <w:right w:type="dxa" w:w="110"/>
            </w:tcMar>
          </w:tcPr>
          <w:p>
            <w:pPr>
              <w:spacing w:after="0" w:line="252"/>
            </w:pPr>
            <w:r>
              <w:rPr>
                <w:rFonts w:ascii="Calibri" w:cs="Calibri" w:eastAsia="Calibri" w:hAnsi="Calibri"/>
                <w:sz w:val="19"/>
                <w:szCs w:val="19"/>
              </w:rPr>
              <w:t xml:space="preserve">Fail early rather than mid-distribution</w:t>
            </w:r>
          </w:p>
        </w:tc>
      </w:tr>
      <w:tr>
        <w:tc>
          <w:tcPr>
            <w:tcW w:type="dxa" w:w="3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Template markers present exactly once</w:t>
            </w:r>
          </w:p>
        </w:tc>
        <w:tc>
          <w:tcPr>
            <w:tcW w:type="dxa" w:w="5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Prevents override loss or content duplication</w:t>
            </w:r>
          </w:p>
        </w:tc>
      </w:tr>
      <w:tr>
        <w:tc>
          <w:tcPr>
            <w:tcW w:type="dxa" w:w="3600"/>
            <w:tcMar>
              <w:top w:type="dxa" w:w="60"/>
              <w:left w:type="dxa" w:w="110"/>
              <w:bottom w:type="dxa" w:w="60"/>
              <w:right w:type="dxa" w:w="110"/>
            </w:tcMar>
          </w:tcPr>
          <w:p>
            <w:pPr>
              <w:spacing w:after="0" w:line="252"/>
            </w:pPr>
            <w:r>
              <w:rPr>
                <w:rFonts w:ascii="Calibri" w:cs="Calibri" w:eastAsia="Calibri" w:hAnsi="Calibri"/>
                <w:sz w:val="19"/>
                <w:szCs w:val="19"/>
              </w:rPr>
              <w:t xml:space="preserve">Target register valid, no duplicates or blanks</w:t>
            </w:r>
          </w:p>
        </w:tc>
        <w:tc>
          <w:tcPr>
            <w:tcW w:type="dxa" w:w="5760"/>
            <w:tcMar>
              <w:top w:type="dxa" w:w="60"/>
              <w:left w:type="dxa" w:w="110"/>
              <w:bottom w:type="dxa" w:w="60"/>
              <w:right w:type="dxa" w:w="110"/>
            </w:tcMar>
          </w:tcPr>
          <w:p>
            <w:pPr>
              <w:spacing w:after="0" w:line="252"/>
            </w:pPr>
            <w:r>
              <w:rPr>
                <w:rFonts w:ascii="Calibri" w:cs="Calibri" w:eastAsia="Calibri" w:hAnsi="Calibri"/>
                <w:sz w:val="19"/>
                <w:szCs w:val="19"/>
              </w:rPr>
              <w:t xml:space="preserve">Prevents a malformed run</w:t>
            </w:r>
          </w:p>
        </w:tc>
      </w:tr>
      <w:tr>
        <w:tc>
          <w:tcPr>
            <w:tcW w:type="dxa" w:w="3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All required instruction and workflow files present</w:t>
            </w:r>
          </w:p>
        </w:tc>
        <w:tc>
          <w:tcPr>
            <w:tcW w:type="dxa" w:w="5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Prevents shipping an incomplete set</w:t>
            </w:r>
          </w:p>
        </w:tc>
      </w:tr>
      <w:tr>
        <w:tc>
          <w:tcPr>
            <w:tcW w:type="dxa" w:w="3600"/>
            <w:tcMar>
              <w:top w:type="dxa" w:w="60"/>
              <w:left w:type="dxa" w:w="110"/>
              <w:bottom w:type="dxa" w:w="60"/>
              <w:right w:type="dxa" w:w="110"/>
            </w:tcMar>
          </w:tcPr>
          <w:p>
            <w:pPr>
              <w:spacing w:after="0" w:line="252"/>
            </w:pPr>
            <w:r>
              <w:rPr>
                <w:rFonts w:ascii="Calibri" w:cs="Calibri" w:eastAsia="Calibri" w:hAnsi="Calibri"/>
                <w:sz w:val="19"/>
                <w:szCs w:val="19"/>
              </w:rPr>
              <w:t xml:space="preserve">Content word budgets</w:t>
            </w:r>
          </w:p>
        </w:tc>
        <w:tc>
          <w:tcPr>
            <w:tcW w:type="dxa" w:w="5760"/>
            <w:tcMar>
              <w:top w:type="dxa" w:w="60"/>
              <w:left w:type="dxa" w:w="110"/>
              <w:bottom w:type="dxa" w:w="60"/>
              <w:right w:type="dxa" w:w="110"/>
            </w:tcMar>
          </w:tcPr>
          <w:p>
            <w:pPr>
              <w:spacing w:after="0" w:line="252"/>
            </w:pPr>
            <w:r>
              <w:rPr>
                <w:rFonts w:ascii="Calibri" w:cs="Calibri" w:eastAsia="Calibri" w:hAnsi="Calibri"/>
                <w:sz w:val="19"/>
                <w:szCs w:val="19"/>
              </w:rPr>
              <w:t xml:space="preserve">Constrains the cost of content injected on every request</w:t>
            </w:r>
          </w:p>
        </w:tc>
      </w:tr>
      <w:tr>
        <w:tc>
          <w:tcPr>
            <w:tcW w:type="dxa" w:w="3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Prohibited content patterns</w:t>
            </w:r>
          </w:p>
        </w:tc>
        <w:tc>
          <w:tcPr>
            <w:tcW w:type="dxa" w:w="5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Blocks unresolved placeholders and anything resembling a literal credential</w:t>
            </w:r>
          </w:p>
        </w:tc>
      </w:tr>
      <w:tr>
        <w:tc>
          <w:tcPr>
            <w:tcW w:type="dxa" w:w="3600"/>
            <w:tcMar>
              <w:top w:type="dxa" w:w="60"/>
              <w:left w:type="dxa" w:w="110"/>
              <w:bottom w:type="dxa" w:w="60"/>
              <w:right w:type="dxa" w:w="110"/>
            </w:tcMar>
          </w:tcPr>
          <w:p>
            <w:pPr>
              <w:spacing w:after="0" w:line="252"/>
            </w:pPr>
            <w:r>
              <w:rPr>
                <w:rFonts w:ascii="Calibri" w:cs="Calibri" w:eastAsia="Calibri" w:hAnsi="Calibri"/>
                <w:sz w:val="19"/>
                <w:szCs w:val="19"/>
              </w:rPr>
              <w:t xml:space="preserve">Duplicate phrasing across content</w:t>
            </w:r>
          </w:p>
        </w:tc>
        <w:tc>
          <w:tcPr>
            <w:tcW w:type="dxa" w:w="5760"/>
            <w:tcMar>
              <w:top w:type="dxa" w:w="60"/>
              <w:left w:type="dxa" w:w="110"/>
              <w:bottom w:type="dxa" w:w="60"/>
              <w:right w:type="dxa" w:w="110"/>
            </w:tcMar>
          </w:tcPr>
          <w:p>
            <w:pPr>
              <w:spacing w:after="0" w:line="252"/>
            </w:pPr>
            <w:r>
              <w:rPr>
                <w:rFonts w:ascii="Calibri" w:cs="Calibri" w:eastAsia="Calibri" w:hAnsi="Calibri"/>
                <w:sz w:val="19"/>
                <w:szCs w:val="19"/>
              </w:rPr>
              <w:t xml:space="preserve">Advisory only; flags redundant instruction text</w:t>
            </w:r>
          </w:p>
        </w:tc>
      </w:tr>
      <w:tr>
        <w:tc>
          <w:tcPr>
            <w:tcW w:type="dxa" w:w="3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Interception configuration self-test</w:t>
            </w:r>
          </w:p>
        </w:tc>
        <w:tc>
          <w:tcPr>
            <w:tcW w:type="dxa" w:w="57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Verifies rules, routing, referenced files and a live rewrite</w:t>
            </w:r>
          </w:p>
        </w:tc>
      </w:tr>
      <w:tr>
        <w:tc>
          <w:tcPr>
            <w:tcW w:type="dxa" w:w="3600"/>
            <w:tcMar>
              <w:top w:type="dxa" w:w="60"/>
              <w:left w:type="dxa" w:w="110"/>
              <w:bottom w:type="dxa" w:w="60"/>
              <w:right w:type="dxa" w:w="110"/>
            </w:tcMar>
          </w:tcPr>
          <w:p>
            <w:pPr>
              <w:spacing w:after="0" w:line="252"/>
            </w:pPr>
            <w:r>
              <w:rPr>
                <w:rFonts w:ascii="Calibri" w:cs="Calibri" w:eastAsia="Calibri" w:hAnsi="Calibri"/>
                <w:sz w:val="19"/>
                <w:szCs w:val="19"/>
              </w:rPr>
              <w:t xml:space="preserve">Script syntax and encoding checks</w:t>
            </w:r>
          </w:p>
        </w:tc>
        <w:tc>
          <w:tcPr>
            <w:tcW w:type="dxa" w:w="5760"/>
            <w:tcMar>
              <w:top w:type="dxa" w:w="60"/>
              <w:left w:type="dxa" w:w="110"/>
              <w:bottom w:type="dxa" w:w="60"/>
              <w:right w:type="dxa" w:w="110"/>
            </w:tcMar>
          </w:tcPr>
          <w:p>
            <w:pPr>
              <w:spacing w:after="0" w:line="252"/>
            </w:pPr>
            <w:r>
              <w:rPr>
                <w:rFonts w:ascii="Calibri" w:cs="Calibri" w:eastAsia="Calibri" w:hAnsi="Calibri"/>
                <w:sz w:val="19"/>
                <w:szCs w:val="19"/>
              </w:rPr>
              <w:t xml:space="preserve">Prevents a malformed script or an encoding fault reaching automation</w:t>
            </w:r>
          </w:p>
        </w:tc>
      </w:tr>
    </w:tbl>
    <w:p>
      <w:pPr>
        <w:spacing w:after="160"/>
      </w:pPr>
    </w:p>
    <w:p>
      <w:pPr>
        <w:spacing w:after="120" w:line="276"/>
      </w:pPr>
      <w:r>
        <w:rPr>
          <w:rFonts w:ascii="Calibri" w:cs="Calibri" w:eastAsia="Calibri" w:hAnsi="Calibri"/>
          <w:sz w:val="21"/>
          <w:szCs w:val="21"/>
        </w:rPr>
        <w:t xml:space="preserve">Budgets are tightest where cost is highest. The governance core applied to every prompt is capped at 150 words and currently occupies 138.</w:t>
      </w:r>
    </w:p>
    <w:p>
      <w:pPr>
        <w:pStyle w:val="Heading2"/>
        <w:spacing w:after="140" w:before="280"/>
      </w:pPr>
      <w:r>
        <w:rPr>
          <w:rFonts w:ascii="Calibri" w:cs="Calibri" w:eastAsia="Calibri" w:hAnsi="Calibri"/>
          <w:b/>
          <w:bCs/>
          <w:color w:val="1F3864"/>
        </w:rPr>
        <w:t xml:space="preserve">4.5 Local developer CLI</w:t>
      </w:r>
    </w:p>
    <w:p>
      <w:pPr>
        <w:spacing w:after="120" w:line="276"/>
      </w:pPr>
      <w:r>
        <w:rPr>
          <w:rFonts w:ascii="Calibri" w:cs="Calibri" w:eastAsia="Calibri" w:hAnsi="Calibri"/>
          <w:sz w:val="21"/>
          <w:szCs w:val="21"/>
        </w:rPr>
        <w:t xml:space="preserve">A command-line tool is provided for developers and platform engineers, in both a shell and a Windows PowerShell edition. It requires no network access for its principal functions. The full command set is listed in Appendix B.</w:t>
      </w:r>
    </w:p>
    <w:p>
      <w:pPr>
        <w:pStyle w:val="Heading2"/>
        <w:spacing w:after="140" w:before="280"/>
      </w:pPr>
      <w:r>
        <w:rPr>
          <w:rFonts w:ascii="Calibri" w:cs="Calibri" w:eastAsia="Calibri" w:hAnsi="Calibri"/>
          <w:b/>
          <w:bCs/>
          <w:color w:val="1F3864"/>
        </w:rPr>
        <w:t xml:space="preserve">4.6 Prompt interception</w:t>
      </w:r>
    </w:p>
    <w:p>
      <w:pPr>
        <w:spacing w:after="120" w:line="276"/>
      </w:pPr>
      <w:r>
        <w:rPr>
          <w:rFonts w:ascii="Calibri" w:cs="Calibri" w:eastAsia="Calibri" w:hAnsi="Calibri"/>
          <w:sz w:val="21"/>
          <w:szCs w:val="21"/>
        </w:rPr>
        <w:t xml:space="preserve">This is the control that distinguishes the platform from documentation. Instruction files influence Copilot only when a developer happens to be editing a matching file, and prompt workflows help only when a developer chooses to invoke one. A developer working quickly and typing an unstructured request previously received no governance at all, which is precisely the circumstance in which governance matters most.</w:t>
      </w:r>
    </w:p>
    <w:p>
      <w:pPr>
        <w:spacing w:after="120" w:line="276"/>
      </w:pPr>
      <w:r>
        <w:rPr>
          <w:rFonts w:ascii="Calibri" w:cs="Calibri" w:eastAsia="Calibri" w:hAnsi="Calibri"/>
          <w:sz w:val="21"/>
          <w:szCs w:val="21"/>
        </w:rPr>
        <w:t xml:space="preserve">Interception removes that gap. When a developer submits a prompt in a governed repository, the IDE passes it to a governance component before the model is contacted. That component performs four steps.</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1700"/>
        <w:gridCol w:w="7660"/>
      </w:tblGrid>
      <w:tr>
        <w:trPr>
          <w:tblHeader/>
        </w:trPr>
        <w:tc>
          <w:tcPr>
            <w:tcW w:type="dxa" w:w="17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Step</w:t>
            </w:r>
          </w:p>
        </w:tc>
        <w:tc>
          <w:tcPr>
            <w:tcW w:type="dxa" w:w="76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Action</w:t>
            </w:r>
          </w:p>
        </w:tc>
      </w:tr>
      <w:tr>
        <w:tc>
          <w:tcPr>
            <w:tcW w:type="dxa" w:w="1700"/>
            <w:tcMar>
              <w:top w:type="dxa" w:w="60"/>
              <w:left w:type="dxa" w:w="110"/>
              <w:bottom w:type="dxa" w:w="60"/>
              <w:right w:type="dxa" w:w="110"/>
            </w:tcMar>
          </w:tcPr>
          <w:p>
            <w:pPr>
              <w:spacing w:after="0" w:line="252"/>
            </w:pPr>
            <w:r>
              <w:rPr>
                <w:rFonts w:ascii="Calibri" w:cs="Calibri" w:eastAsia="Calibri" w:hAnsi="Calibri"/>
                <w:sz w:val="19"/>
                <w:szCs w:val="19"/>
              </w:rPr>
              <w:t xml:space="preserve">Screen</w:t>
            </w:r>
          </w:p>
        </w:tc>
        <w:tc>
          <w:tcPr>
            <w:tcW w:type="dxa" w:w="7660"/>
            <w:tcMar>
              <w:top w:type="dxa" w:w="60"/>
              <w:left w:type="dxa" w:w="110"/>
              <w:bottom w:type="dxa" w:w="60"/>
              <w:right w:type="dxa" w:w="110"/>
            </w:tcMar>
          </w:tcPr>
          <w:p>
            <w:pPr>
              <w:spacing w:after="0" w:line="252"/>
            </w:pPr>
            <w:r>
              <w:rPr>
                <w:rFonts w:ascii="Calibri" w:cs="Calibri" w:eastAsia="Calibri" w:hAnsi="Calibri"/>
                <w:sz w:val="19"/>
                <w:szCs w:val="19"/>
              </w:rPr>
              <w:t xml:space="preserve">Compare the prompt against the policy rule set</w:t>
            </w:r>
          </w:p>
        </w:tc>
      </w:tr>
      <w:tr>
        <w:tc>
          <w:tcPr>
            <w:tcW w:type="dxa" w:w="1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Classify</w:t>
            </w:r>
          </w:p>
        </w:tc>
        <w:tc>
          <w:tcPr>
            <w:tcW w:type="dxa" w:w="76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Identify the engineering intent, its risk level, and the applicable workflow</w:t>
            </w:r>
          </w:p>
        </w:tc>
      </w:tr>
      <w:tr>
        <w:tc>
          <w:tcPr>
            <w:tcW w:type="dxa" w:w="1700"/>
            <w:tcMar>
              <w:top w:type="dxa" w:w="60"/>
              <w:left w:type="dxa" w:w="110"/>
              <w:bottom w:type="dxa" w:w="60"/>
              <w:right w:type="dxa" w:w="110"/>
            </w:tcMar>
          </w:tcPr>
          <w:p>
            <w:pPr>
              <w:spacing w:after="0" w:line="252"/>
            </w:pPr>
            <w:r>
              <w:rPr>
                <w:rFonts w:ascii="Calibri" w:cs="Calibri" w:eastAsia="Calibri" w:hAnsi="Calibri"/>
                <w:sz w:val="19"/>
                <w:szCs w:val="19"/>
              </w:rPr>
              <w:t xml:space="preserve">Compose</w:t>
            </w:r>
          </w:p>
        </w:tc>
        <w:tc>
          <w:tcPr>
            <w:tcW w:type="dxa" w:w="7660"/>
            <w:tcMar>
              <w:top w:type="dxa" w:w="60"/>
              <w:left w:type="dxa" w:w="110"/>
              <w:bottom w:type="dxa" w:w="60"/>
              <w:right w:type="dxa" w:w="110"/>
            </w:tcMar>
          </w:tcPr>
          <w:p>
            <w:pPr>
              <w:spacing w:after="0" w:line="252"/>
            </w:pPr>
            <w:r>
              <w:rPr>
                <w:rFonts w:ascii="Calibri" w:cs="Calibri" w:eastAsia="Calibri" w:hAnsi="Calibri"/>
                <w:sz w:val="19"/>
                <w:szCs w:val="19"/>
              </w:rPr>
              <w:t xml:space="preserve">Assemble the governed prompt from the core rules, the matched workflow, and the developer’s original text</w:t>
            </w:r>
          </w:p>
        </w:tc>
      </w:tr>
      <w:tr>
        <w:tc>
          <w:tcPr>
            <w:tcW w:type="dxa" w:w="1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Record</w:t>
            </w:r>
          </w:p>
        </w:tc>
        <w:tc>
          <w:tcPr>
            <w:tcW w:type="dxa" w:w="76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Write a measurement entry describing what occurred</w:t>
            </w:r>
          </w:p>
        </w:tc>
      </w:tr>
    </w:tbl>
    <w:p>
      <w:pPr>
        <w:spacing w:after="160"/>
      </w:pPr>
    </w:p>
    <w:p>
      <w:pPr>
        <w:spacing w:after="120" w:line="276"/>
      </w:pPr>
      <w:r>
        <w:rPr>
          <w:rFonts w:ascii="Calibri" w:cs="Calibri" w:eastAsia="Calibri" w:hAnsi="Calibri"/>
          <w:sz w:val="21"/>
          <w:szCs w:val="21"/>
        </w:rPr>
        <w:t xml:space="preserve">The governed prompt returned to the model contains the invariant governance core, the developer’s original wording reproduced exactly and unaltered, the full approved workflow for the identified task, references to the governing instruction files, any policy concerns detected, and the verification and human-review obligations that apply.</w:t>
      </w:r>
    </w:p>
    <w:p>
      <w:pPr>
        <w:spacing w:after="120" w:line="276"/>
      </w:pPr>
      <w:r>
        <w:rPr>
          <w:rFonts w:ascii="Calibri" w:cs="Calibri" w:eastAsia="Calibri" w:hAnsi="Calibri"/>
          <w:sz w:val="21"/>
          <w:szCs w:val="21"/>
        </w:rPr>
        <w:t xml:space="preserve">The developer’s wording is never discarded, summarised or reinterpreted. It is reproduced verbatim and clearly delimited, and the surrounding structure instructs the model to disregard any directive inside it that conflicts with the governance core. This protects against a prompt, whether careless or deliberate, restructuring the governance around it.</w:t>
      </w:r>
    </w:p>
    <w:p>
      <w:pPr>
        <w:spacing w:after="120" w:line="276"/>
      </w:pPr>
      <w:r>
        <w:rPr>
          <w:rFonts w:ascii="Calibri" w:cs="Calibri" w:eastAsia="Calibri" w:hAnsi="Calibri"/>
          <w:sz w:val="21"/>
          <w:szCs w:val="21"/>
        </w:rPr>
        <w:t xml:space="preserve">Requests that do not match a known task still receive the governance core and general obligations. There is no unhandled path.</w:t>
      </w:r>
    </w:p>
    <w:p>
      <w:pPr>
        <w:pStyle w:val="Heading3"/>
        <w:spacing w:after="140" w:before="280"/>
      </w:pPr>
      <w:r>
        <w:rPr>
          <w:rFonts w:ascii="Calibri" w:cs="Calibri" w:eastAsia="Calibri" w:hAnsi="Calibri"/>
          <w:b/>
          <w:bCs/>
          <w:color w:val="1F3864"/>
        </w:rPr>
        <w:t xml:space="preserve">4.6.1 Policy rules and staged enforcement</w:t>
      </w:r>
    </w:p>
    <w:p>
      <w:pPr>
        <w:spacing w:after="120" w:line="276"/>
      </w:pPr>
      <w:r>
        <w:rPr>
          <w:rFonts w:ascii="Calibri" w:cs="Calibri" w:eastAsia="Calibri" w:hAnsi="Calibri"/>
          <w:sz w:val="21"/>
          <w:szCs w:val="21"/>
        </w:rPr>
        <w:t xml:space="preserve">Seven policy rule families are defined. Each rule carries an independent enforcement setting, so a rule may be activated as soon as evidence supports it without waiting for the remainder of the set.</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500"/>
        <w:gridCol w:w="5000"/>
        <w:gridCol w:w="1860"/>
      </w:tblGrid>
      <w:tr>
        <w:trPr>
          <w:tblHeader/>
        </w:trPr>
        <w:tc>
          <w:tcPr>
            <w:tcW w:type="dxa" w:w="2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Rule family</w:t>
            </w:r>
          </w:p>
        </w:tc>
        <w:tc>
          <w:tcPr>
            <w:tcW w:type="dxa" w:w="50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Addresses</w:t>
            </w:r>
          </w:p>
        </w:tc>
        <w:tc>
          <w:tcPr>
            <w:tcW w:type="dxa" w:w="18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State</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Bypass of verification</w:t>
            </w:r>
          </w:p>
        </w:tc>
        <w:tc>
          <w:tcPr>
            <w:tcW w:type="dxa" w:w="5000"/>
            <w:tcMar>
              <w:top w:type="dxa" w:w="60"/>
              <w:left w:type="dxa" w:w="110"/>
              <w:bottom w:type="dxa" w:w="60"/>
              <w:right w:type="dxa" w:w="110"/>
            </w:tcMar>
          </w:tcPr>
          <w:p>
            <w:pPr>
              <w:spacing w:after="0" w:line="252"/>
            </w:pPr>
            <w:r>
              <w:rPr>
                <w:rFonts w:ascii="Calibri" w:cs="Calibri" w:eastAsia="Calibri" w:hAnsi="Calibri"/>
                <w:sz w:val="19"/>
                <w:szCs w:val="19"/>
              </w:rPr>
              <w:t xml:space="preserve">Requests to skip tests, linting or commit checks</w:t>
            </w:r>
          </w:p>
        </w:tc>
        <w:tc>
          <w:tcPr>
            <w:tcW w:type="dxa" w:w="1860"/>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Hardcoded secrets</w:t>
            </w:r>
          </w:p>
        </w:tc>
        <w:tc>
          <w:tcPr>
            <w:tcW w:type="dxa" w:w="50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Credentials or keys placed in a prompt or in source</w:t>
            </w:r>
          </w:p>
        </w:tc>
        <w:tc>
          <w:tcPr>
            <w:tcW w:type="dxa" w:w="1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Disabling security scanning</w:t>
            </w:r>
          </w:p>
        </w:tc>
        <w:tc>
          <w:tcPr>
            <w:tcW w:type="dxa" w:w="5000"/>
            <w:tcMar>
              <w:top w:type="dxa" w:w="60"/>
              <w:left w:type="dxa" w:w="110"/>
              <w:bottom w:type="dxa" w:w="60"/>
              <w:right w:type="dxa" w:w="110"/>
            </w:tcMar>
          </w:tcPr>
          <w:p>
            <w:pPr>
              <w:spacing w:after="0" w:line="252"/>
            </w:pPr>
            <w:r>
              <w:rPr>
                <w:rFonts w:ascii="Calibri" w:cs="Calibri" w:eastAsia="Calibri" w:hAnsi="Calibri"/>
                <w:sz w:val="19"/>
                <w:szCs w:val="19"/>
              </w:rPr>
              <w:t xml:space="preserve">Requests to suppress or waive scanner findings</w:t>
            </w:r>
          </w:p>
        </w:tc>
        <w:tc>
          <w:tcPr>
            <w:tcW w:type="dxa" w:w="1860"/>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Custom cryptography</w:t>
            </w:r>
          </w:p>
        </w:tc>
        <w:tc>
          <w:tcPr>
            <w:tcW w:type="dxa" w:w="50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Requests to author bespoke authentication or encryption</w:t>
            </w:r>
          </w:p>
        </w:tc>
        <w:tc>
          <w:tcPr>
            <w:tcW w:type="dxa" w:w="1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Customer data in prompts</w:t>
            </w:r>
          </w:p>
        </w:tc>
        <w:tc>
          <w:tcPr>
            <w:tcW w:type="dxa" w:w="5000"/>
            <w:tcMar>
              <w:top w:type="dxa" w:w="60"/>
              <w:left w:type="dxa" w:w="110"/>
              <w:bottom w:type="dxa" w:w="60"/>
              <w:right w:type="dxa" w:w="110"/>
            </w:tcMar>
          </w:tcPr>
          <w:p>
            <w:pPr>
              <w:spacing w:after="0" w:line="252"/>
            </w:pPr>
            <w:r>
              <w:rPr>
                <w:rFonts w:ascii="Calibri" w:cs="Calibri" w:eastAsia="Calibri" w:hAnsi="Calibri"/>
                <w:sz w:val="19"/>
                <w:szCs w:val="19"/>
              </w:rPr>
              <w:t xml:space="preserve">Card numbers, national identifiers, production records</w:t>
            </w:r>
          </w:p>
        </w:tc>
        <w:tc>
          <w:tcPr>
            <w:tcW w:type="dxa" w:w="1860"/>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Credential disclosure</w:t>
            </w:r>
          </w:p>
        </w:tc>
        <w:tc>
          <w:tcPr>
            <w:tcW w:type="dxa" w:w="50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Requests to reveal or transmit environment configuration</w:t>
            </w:r>
          </w:p>
        </w:tc>
        <w:tc>
          <w:tcPr>
            <w:tcW w:type="dxa" w:w="18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Production mutation</w:t>
            </w:r>
          </w:p>
        </w:tc>
        <w:tc>
          <w:tcPr>
            <w:tcW w:type="dxa" w:w="5000"/>
            <w:tcMar>
              <w:top w:type="dxa" w:w="60"/>
              <w:left w:type="dxa" w:w="110"/>
              <w:bottom w:type="dxa" w:w="60"/>
              <w:right w:type="dxa" w:w="110"/>
            </w:tcMar>
          </w:tcPr>
          <w:p>
            <w:pPr>
              <w:spacing w:after="0" w:line="252"/>
            </w:pPr>
            <w:r>
              <w:rPr>
                <w:rFonts w:ascii="Calibri" w:cs="Calibri" w:eastAsia="Calibri" w:hAnsi="Calibri"/>
                <w:sz w:val="19"/>
                <w:szCs w:val="19"/>
              </w:rPr>
              <w:t xml:space="preserve">Destructive operations against production systems</w:t>
            </w:r>
          </w:p>
        </w:tc>
        <w:tc>
          <w:tcPr>
            <w:tcW w:type="dxa" w:w="1860"/>
            <w:tcMar>
              <w:top w:type="dxa" w:w="60"/>
              <w:left w:type="dxa" w:w="110"/>
              <w:bottom w:type="dxa" w:w="60"/>
              <w:right w:type="dxa" w:w="110"/>
            </w:tcMar>
          </w:tcPr>
          <w:p>
            <w:pPr>
              <w:spacing w:after="0" w:line="252"/>
            </w:pPr>
            <w:r>
              <w:rPr>
                <w:rFonts w:ascii="Calibri" w:cs="Calibri" w:eastAsia="Calibri" w:hAnsi="Calibri"/>
                <w:sz w:val="19"/>
                <w:szCs w:val="19"/>
              </w:rPr>
              <w:t xml:space="preserve">Shadow</w:t>
            </w:r>
          </w:p>
        </w:tc>
      </w:tr>
    </w:tbl>
    <w:p>
      <w:pPr>
        <w:spacing w:after="160"/>
      </w:pPr>
    </w:p>
    <w:p>
      <w:pPr>
        <w:spacing w:after="120" w:line="276"/>
      </w:pPr>
      <w:r>
        <w:rPr>
          <w:rFonts w:ascii="Calibri" w:cs="Calibri" w:eastAsia="Calibri" w:hAnsi="Calibri"/>
          <w:b/>
          <w:bCs/>
          <w:sz w:val="21"/>
          <w:szCs w:val="21"/>
        </w:rPr>
        <w:t xml:space="preserve">All seven rules are presently in shadow state. </w:t>
      </w:r>
      <w:r>
        <w:rPr>
          <w:rFonts w:ascii="Calibri" w:cs="Calibri" w:eastAsia="Calibri" w:hAnsi="Calibri"/>
          <w:sz w:val="21"/>
          <w:szCs w:val="21"/>
        </w:rPr>
        <w:t xml:space="preserve">A shadow rule is evaluated, recorded, and surfaced to the developer as an advisory note, and the prompt proceeds normally. No developer is blocked. This is deliberate: enforcing an unvalidated rule set on the first day of deployment risks obstructing legitimate work and forfeiting the goodwill on which adoption depends. Rules will be activated individually once pilot evidence demonstrates an acceptable false-alarm rate for that specific rule.</w:t>
      </w:r>
    </w:p>
    <w:p>
      <w:pPr>
        <w:spacing w:after="120" w:line="276"/>
      </w:pPr>
      <w:r>
        <w:rPr>
          <w:rFonts w:ascii="Calibri" w:cs="Calibri" w:eastAsia="Calibri" w:hAnsi="Calibri"/>
          <w:sz w:val="21"/>
          <w:szCs w:val="21"/>
        </w:rPr>
        <w:t xml:space="preserve">Two rules are recorded as requiring further work before activation. The customer-data rule uses a numeric pattern that requires a checksum test to distinguish payment card numbers from other long numbers. The scanner-suppression rule uses wording that overlaps with legitimate human triage of false positives.</w:t>
      </w:r>
    </w:p>
    <w:p>
      <w:pPr>
        <w:pStyle w:val="Heading2"/>
        <w:spacing w:after="140" w:before="280"/>
      </w:pPr>
      <w:r>
        <w:rPr>
          <w:rFonts w:ascii="Calibri" w:cs="Calibri" w:eastAsia="Calibri" w:hAnsi="Calibri"/>
          <w:b/>
          <w:bCs/>
          <w:color w:val="1F3864"/>
        </w:rPr>
        <w:t xml:space="preserve">4.7 Measurement</w:t>
      </w:r>
    </w:p>
    <w:p>
      <w:pPr>
        <w:spacing w:after="120" w:line="276"/>
      </w:pPr>
      <w:r>
        <w:rPr>
          <w:rFonts w:ascii="Calibri" w:cs="Calibri" w:eastAsia="Calibri" w:hAnsi="Calibri"/>
          <w:sz w:val="21"/>
          <w:szCs w:val="21"/>
        </w:rPr>
        <w:t xml:space="preserve">Each interception produces a record. This is the first measurement capability in the platform; previously, all reported figures were estimates.</w:t>
      </w:r>
    </w:p>
    <w:p>
      <w:pPr>
        <w:spacing w:after="120" w:line="276"/>
      </w:pPr>
      <w:r>
        <w:rPr>
          <w:rFonts w:ascii="Calibri" w:cs="Calibri" w:eastAsia="Calibri" w:hAnsi="Calibri"/>
          <w:sz w:val="21"/>
          <w:szCs w:val="21"/>
        </w:rPr>
        <w:t xml:space="preserve">Records are written to the developer’s own user profile directory, deliberately not into any repository, so that prompt-related data cannot enter a source control system.</w:t>
      </w:r>
    </w:p>
    <w:p>
      <w:pPr>
        <w:spacing w:after="120" w:line="276"/>
      </w:pPr>
      <w:r>
        <w:rPr>
          <w:rFonts w:ascii="Calibri" w:cs="Calibri" w:eastAsia="Calibri" w:hAnsi="Calibri"/>
          <w:b/>
          <w:bCs/>
          <w:sz w:val="21"/>
          <w:szCs w:val="21"/>
        </w:rPr>
        <w:t xml:space="preserve">Prompt text is not recorded. </w:t>
      </w:r>
      <w:r>
        <w:rPr>
          <w:rFonts w:ascii="Calibri" w:cs="Calibri" w:eastAsia="Calibri" w:hAnsi="Calibri"/>
          <w:sz w:val="21"/>
          <w:szCs w:val="21"/>
        </w:rPr>
        <w:t xml:space="preserve">Each record holds a timestamp, session identifier, repository name, identified intent, risk level, matched workflow, any policy rules triggered together with their enforcement state, a truncated one-way hash of the prompt, and the character lengths of the original and governed prompts. The hash permits recognition of a repeated prompt without retaining its content. Capture of prompt text is possible only by explicit local configuration for debugging and is not enabled by default.</w:t>
      </w:r>
    </w:p>
    <w:p>
      <w:pPr>
        <w:spacing w:after="120" w:line="276"/>
      </w:pPr>
      <w:r>
        <w:rPr>
          <w:rFonts w:ascii="Calibri" w:cs="Calibri" w:eastAsia="Calibri" w:hAnsi="Calibri"/>
          <w:sz w:val="21"/>
          <w:szCs w:val="21"/>
        </w:rPr>
        <w:t xml:space="preserve">A reporting command aggregates these records into interception volume, distribution of engineering intent, and per-rule trigger counts. The per-rule counts are the evidence on which enforcement decisions are taken.</w:t>
      </w:r>
    </w:p>
    <w:p>
      <w:pPr>
        <w:spacing w:after="120" w:line="276"/>
      </w:pPr>
      <w:r>
        <w:rPr>
          <w:rFonts w:ascii="Calibri" w:cs="Calibri" w:eastAsia="Calibri" w:hAnsi="Calibri"/>
          <w:b/>
          <w:bCs/>
          <w:sz w:val="21"/>
          <w:szCs w:val="21"/>
        </w:rPr>
        <w:t xml:space="preserve">A correction to a previously reported figure. </w:t>
      </w:r>
      <w:r>
        <w:rPr>
          <w:rFonts w:ascii="Calibri" w:cs="Calibri" w:eastAsia="Calibri" w:hAnsi="Calibri"/>
          <w:sz w:val="21"/>
          <w:szCs w:val="21"/>
        </w:rPr>
        <w:t xml:space="preserve">Earlier platform documentation projected a 70 to 80 per cent reduction in tokens. Measurement now shows the governed prompt is larger than the developer’s original, by design, because it incorporates the workflow the developer would otherwise have typed by hand or omitted. Efficiency benefit arises from fewer incorrect proposals and fewer review cycles, not from a smaller request. The earlier figure was never measured and should not be repeated.</w:t>
      </w:r>
    </w:p>
    <w:p>
      <w:pPr>
        <w:pStyle w:val="Heading1"/>
        <w:spacing w:after="140" w:before="280"/>
      </w:pPr>
      <w:r>
        <w:rPr>
          <w:rFonts w:ascii="Calibri" w:cs="Calibri" w:eastAsia="Calibri" w:hAnsi="Calibri"/>
          <w:b/>
          <w:bCs/>
          <w:color w:val="1F3864"/>
        </w:rPr>
        <w:t xml:space="preserve">5. Security and Compliance Posture</w:t>
      </w:r>
    </w:p>
    <w:p>
      <w:pPr>
        <w:pStyle w:val="Heading2"/>
        <w:spacing w:after="140" w:before="280"/>
      </w:pPr>
      <w:r>
        <w:rPr>
          <w:rFonts w:ascii="Calibri" w:cs="Calibri" w:eastAsia="Calibri" w:hAnsi="Calibri"/>
          <w:b/>
          <w:bCs/>
          <w:color w:val="1F3864"/>
        </w:rPr>
        <w:t xml:space="preserve">5.1 Standards enforced</w:t>
      </w:r>
    </w:p>
    <w:p>
      <w:pPr>
        <w:spacing w:after="120" w:line="276"/>
      </w:pPr>
      <w:r>
        <w:rPr>
          <w:rFonts w:ascii="Calibri" w:cs="Calibri" w:eastAsia="Calibri" w:hAnsi="Calibri"/>
          <w:sz w:val="21"/>
          <w:szCs w:val="21"/>
        </w:rPr>
        <w:t xml:space="preserve">The governance content directs Copilot never to generate hardcoded credentials; never to log personal data, account or card numbers, secrets, tokens, session identifiers or authentication headers; never to bypass authentication, authorisation, change-approval workflows, audit logging, scanning, linting or tests; to use approved secret-management patterns; to validate external input; to avoid the established injection, traversal, deserialisation and weak-cryptography failure modes; to handle errors without disclosing internals; and to flag changes affecting authentication, encryption, payments, audit or personal data for human security review.</w:t>
      </w:r>
    </w:p>
    <w:p>
      <w:pPr>
        <w:pStyle w:val="Heading2"/>
        <w:spacing w:after="140" w:before="280"/>
      </w:pPr>
      <w:r>
        <w:rPr>
          <w:rFonts w:ascii="Calibri" w:cs="Calibri" w:eastAsia="Calibri" w:hAnsi="Calibri"/>
          <w:b/>
          <w:bCs/>
          <w:color w:val="1F3864"/>
        </w:rPr>
        <w:t xml:space="preserve">5.2 Change control</w:t>
      </w:r>
    </w:p>
    <w:p>
      <w:pPr>
        <w:spacing w:after="120" w:line="276"/>
      </w:pPr>
      <w:r>
        <w:rPr>
          <w:rFonts w:ascii="Calibri" w:cs="Calibri" w:eastAsia="Calibri" w:hAnsi="Calibri"/>
          <w:sz w:val="21"/>
          <w:szCs w:val="21"/>
        </w:rPr>
        <w:t xml:space="preserve">Governance content is protected by code ownership rules requiring named reviewers.</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800"/>
        <w:gridCol w:w="5560"/>
      </w:tblGrid>
      <w:tr>
        <w:trPr>
          <w:tblHeader/>
        </w:trPr>
        <w:tc>
          <w:tcPr>
            <w:tcW w:type="dxa" w:w="38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Content changed</w:t>
            </w:r>
          </w:p>
        </w:tc>
        <w:tc>
          <w:tcPr>
            <w:tcW w:type="dxa" w:w="55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Required reviewers</w:t>
            </w:r>
          </w:p>
        </w:tc>
      </w:tr>
      <w:tr>
        <w:tc>
          <w:tcPr>
            <w:tcW w:type="dxa" w:w="3800"/>
            <w:tcMar>
              <w:top w:type="dxa" w:w="60"/>
              <w:left w:type="dxa" w:w="110"/>
              <w:bottom w:type="dxa" w:w="60"/>
              <w:right w:type="dxa" w:w="110"/>
            </w:tcMar>
          </w:tcPr>
          <w:p>
            <w:pPr>
              <w:spacing w:after="0" w:line="252"/>
            </w:pPr>
            <w:r>
              <w:rPr>
                <w:rFonts w:ascii="Calibri" w:cs="Calibri" w:eastAsia="Calibri" w:hAnsi="Calibri"/>
                <w:sz w:val="19"/>
                <w:szCs w:val="19"/>
              </w:rPr>
              <w:t xml:space="preserve">Base instruction file</w:t>
            </w:r>
          </w:p>
        </w:tc>
        <w:tc>
          <w:tcPr>
            <w:tcW w:type="dxa" w:w="55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 and repository owner</w:t>
            </w:r>
          </w:p>
        </w:tc>
      </w:tr>
      <w:tr>
        <w:tc>
          <w:tcPr>
            <w:tcW w:type="dxa" w:w="3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Security instructions</w:t>
            </w:r>
          </w:p>
        </w:tc>
        <w:tc>
          <w:tcPr>
            <w:tcW w:type="dxa" w:w="5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Security team and platform architect</w:t>
            </w:r>
          </w:p>
        </w:tc>
      </w:tr>
      <w:tr>
        <w:tc>
          <w:tcPr>
            <w:tcW w:type="dxa" w:w="3800"/>
            <w:tcMar>
              <w:top w:type="dxa" w:w="60"/>
              <w:left w:type="dxa" w:w="110"/>
              <w:bottom w:type="dxa" w:w="60"/>
              <w:right w:type="dxa" w:w="110"/>
            </w:tcMar>
          </w:tcPr>
          <w:p>
            <w:pPr>
              <w:spacing w:after="0" w:line="252"/>
            </w:pPr>
            <w:r>
              <w:rPr>
                <w:rFonts w:ascii="Calibri" w:cs="Calibri" w:eastAsia="Calibri" w:hAnsi="Calibri"/>
                <w:sz w:val="19"/>
                <w:szCs w:val="19"/>
              </w:rPr>
              <w:t xml:space="preserve">Stack instruction file</w:t>
            </w:r>
          </w:p>
        </w:tc>
        <w:tc>
          <w:tcPr>
            <w:tcW w:type="dxa" w:w="5560"/>
            <w:tcMar>
              <w:top w:type="dxa" w:w="60"/>
              <w:left w:type="dxa" w:w="110"/>
              <w:bottom w:type="dxa" w:w="60"/>
              <w:right w:type="dxa" w:w="110"/>
            </w:tcMar>
          </w:tcPr>
          <w:p>
            <w:pPr>
              <w:spacing w:after="0" w:line="252"/>
            </w:pPr>
            <w:r>
              <w:rPr>
                <w:rFonts w:ascii="Calibri" w:cs="Calibri" w:eastAsia="Calibri" w:hAnsi="Calibri"/>
                <w:sz w:val="19"/>
                <w:szCs w:val="19"/>
              </w:rPr>
              <w:t xml:space="preserve">Stack subject-matter expert and repository owner</w:t>
            </w:r>
          </w:p>
        </w:tc>
      </w:tr>
      <w:tr>
        <w:tc>
          <w:tcPr>
            <w:tcW w:type="dxa" w:w="3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Prompt workflow</w:t>
            </w:r>
          </w:p>
        </w:tc>
        <w:tc>
          <w:tcPr>
            <w:tcW w:type="dxa" w:w="5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w:t>
            </w:r>
          </w:p>
        </w:tc>
      </w:tr>
      <w:tr>
        <w:tc>
          <w:tcPr>
            <w:tcW w:type="dxa" w:w="3800"/>
            <w:tcMar>
              <w:top w:type="dxa" w:w="60"/>
              <w:left w:type="dxa" w:w="110"/>
              <w:bottom w:type="dxa" w:w="60"/>
              <w:right w:type="dxa" w:w="110"/>
            </w:tcMar>
          </w:tcPr>
          <w:p>
            <w:pPr>
              <w:spacing w:after="0" w:line="252"/>
            </w:pPr>
            <w:r>
              <w:rPr>
                <w:rFonts w:ascii="Calibri" w:cs="Calibri" w:eastAsia="Calibri" w:hAnsi="Calibri"/>
                <w:sz w:val="19"/>
                <w:szCs w:val="19"/>
              </w:rPr>
              <w:t xml:space="preserve">Repository override section</w:t>
            </w:r>
          </w:p>
        </w:tc>
        <w:tc>
          <w:tcPr>
            <w:tcW w:type="dxa" w:w="5560"/>
            <w:tcMar>
              <w:top w:type="dxa" w:w="60"/>
              <w:left w:type="dxa" w:w="110"/>
              <w:bottom w:type="dxa" w:w="60"/>
              <w:right w:type="dxa" w:w="110"/>
            </w:tcMar>
          </w:tcPr>
          <w:p>
            <w:pPr>
              <w:spacing w:after="0" w:line="252"/>
            </w:pPr>
            <w:r>
              <w:rPr>
                <w:rFonts w:ascii="Calibri" w:cs="Calibri" w:eastAsia="Calibri" w:hAnsi="Calibri"/>
                <w:sz w:val="19"/>
                <w:szCs w:val="19"/>
              </w:rPr>
              <w:t xml:space="preserve">Repository owner</w:t>
            </w:r>
          </w:p>
        </w:tc>
      </w:tr>
    </w:tbl>
    <w:p>
      <w:pPr>
        <w:spacing w:after="160"/>
      </w:pPr>
    </w:p>
    <w:p>
      <w:pPr>
        <w:spacing w:after="120" w:line="276"/>
      </w:pPr>
      <w:r>
        <w:rPr>
          <w:rFonts w:ascii="Calibri" w:cs="Calibri" w:eastAsia="Calibri" w:hAnsi="Calibri"/>
          <w:sz w:val="21"/>
          <w:szCs w:val="21"/>
        </w:rPr>
        <w:t xml:space="preserve">The code ownership template currently carries placeholder team identifiers. These must be replaced with the correct team names before deployment, and this is included in the approval conditions at Section 13.</w:t>
      </w:r>
    </w:p>
    <w:p>
      <w:pPr>
        <w:pStyle w:val="Heading2"/>
        <w:spacing w:after="140" w:before="280"/>
      </w:pPr>
      <w:r>
        <w:rPr>
          <w:rFonts w:ascii="Calibri" w:cs="Calibri" w:eastAsia="Calibri" w:hAnsi="Calibri"/>
          <w:b/>
          <w:bCs/>
          <w:color w:val="1F3864"/>
        </w:rPr>
        <w:t xml:space="preserve">5.3 Data handling</w:t>
      </w:r>
    </w:p>
    <w:p>
      <w:pPr>
        <w:pStyle w:val="ListParagraph"/>
        <w:numPr>
          <w:ilvl w:val="0"/>
          <w:numId w:val="2"/>
        </w:numPr>
        <w:spacing w:after="80" w:line="276"/>
      </w:pPr>
      <w:r>
        <w:rPr>
          <w:rFonts w:ascii="Calibri" w:cs="Calibri" w:eastAsia="Calibri" w:hAnsi="Calibri"/>
          <w:sz w:val="21"/>
          <w:szCs w:val="21"/>
        </w:rPr>
        <w:t xml:space="preserve">No prompt text is retained by the platform</w:t>
      </w:r>
    </w:p>
    <w:p>
      <w:pPr>
        <w:pStyle w:val="ListParagraph"/>
        <w:numPr>
          <w:ilvl w:val="0"/>
          <w:numId w:val="2"/>
        </w:numPr>
        <w:spacing w:after="80" w:line="276"/>
      </w:pPr>
      <w:r>
        <w:rPr>
          <w:rFonts w:ascii="Calibri" w:cs="Calibri" w:eastAsia="Calibri" w:hAnsi="Calibri"/>
          <w:sz w:val="21"/>
          <w:szCs w:val="21"/>
        </w:rPr>
        <w:t xml:space="preserve">Measurement records are held on the developer workstation, not in source control and not transmitted</w:t>
      </w:r>
    </w:p>
    <w:p>
      <w:pPr>
        <w:pStyle w:val="ListParagraph"/>
        <w:numPr>
          <w:ilvl w:val="0"/>
          <w:numId w:val="2"/>
        </w:numPr>
        <w:spacing w:after="80" w:line="276"/>
      </w:pPr>
      <w:r>
        <w:rPr>
          <w:rFonts w:ascii="Calibri" w:cs="Calibri" w:eastAsia="Calibri" w:hAnsi="Calibri"/>
          <w:sz w:val="21"/>
          <w:szCs w:val="21"/>
        </w:rPr>
        <w:t xml:space="preserve">No new external service, data flow or vendor is introduced</w:t>
      </w:r>
    </w:p>
    <w:p>
      <w:pPr>
        <w:pStyle w:val="ListParagraph"/>
        <w:numPr>
          <w:ilvl w:val="0"/>
          <w:numId w:val="2"/>
        </w:numPr>
        <w:spacing w:after="80" w:line="276"/>
      </w:pPr>
      <w:r>
        <w:rPr>
          <w:rFonts w:ascii="Calibri" w:cs="Calibri" w:eastAsia="Calibri" w:hAnsi="Calibri"/>
          <w:sz w:val="21"/>
          <w:szCs w:val="21"/>
        </w:rPr>
        <w:t xml:space="preserve">The platform holds no credentials beyond the existing token used by distribution automation</w:t>
      </w:r>
    </w:p>
    <w:p>
      <w:pPr>
        <w:pStyle w:val="ListParagraph"/>
        <w:numPr>
          <w:ilvl w:val="0"/>
          <w:numId w:val="2"/>
        </w:numPr>
        <w:spacing w:after="80" w:line="276"/>
      </w:pPr>
      <w:r>
        <w:rPr>
          <w:rFonts w:ascii="Calibri" w:cs="Calibri" w:eastAsia="Calibri" w:hAnsi="Calibri"/>
          <w:sz w:val="21"/>
          <w:szCs w:val="21"/>
        </w:rPr>
        <w:t xml:space="preserve">Content exclusion for sensitive files remains a separate control, identified but not yet implemented</w:t>
      </w:r>
    </w:p>
    <w:p>
      <w:pPr>
        <w:pStyle w:val="Heading1"/>
        <w:spacing w:after="140" w:before="280"/>
      </w:pPr>
      <w:r>
        <w:rPr>
          <w:rFonts w:ascii="Calibri" w:cs="Calibri" w:eastAsia="Calibri" w:hAnsi="Calibri"/>
          <w:b/>
          <w:bCs/>
          <w:color w:val="1F3864"/>
        </w:rPr>
        <w:t xml:space="preserve">6. Coverage and Known Limitations</w:t>
      </w:r>
    </w:p>
    <w:p>
      <w:pPr>
        <w:spacing w:after="120" w:line="276"/>
      </w:pPr>
      <w:r>
        <w:rPr>
          <w:rFonts w:ascii="Calibri" w:cs="Calibri" w:eastAsia="Calibri" w:hAnsi="Calibri"/>
          <w:sz w:val="21"/>
          <w:szCs w:val="21"/>
        </w:rPr>
        <w:t xml:space="preserve">These limitations are stated plainly because they affect what may properly be represented to risk and audit functions.</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000"/>
        <w:gridCol w:w="6360"/>
      </w:tblGrid>
      <w:tr>
        <w:trPr>
          <w:tblHeader/>
        </w:trPr>
        <w:tc>
          <w:tcPr>
            <w:tcW w:type="dxa" w:w="30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Development environment</w:t>
            </w:r>
          </w:p>
        </w:tc>
        <w:tc>
          <w:tcPr>
            <w:tcW w:type="dxa" w:w="63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Level of coverage</w:t>
            </w:r>
          </w:p>
        </w:tc>
      </w:tr>
      <w:tr>
        <w:tc>
          <w:tcPr>
            <w:tcW w:type="dxa" w:w="3000"/>
            <w:tcMar>
              <w:top w:type="dxa" w:w="60"/>
              <w:left w:type="dxa" w:w="110"/>
              <w:bottom w:type="dxa" w:w="60"/>
              <w:right w:type="dxa" w:w="110"/>
            </w:tcMar>
          </w:tcPr>
          <w:p>
            <w:pPr>
              <w:spacing w:after="0" w:line="252"/>
            </w:pPr>
            <w:r>
              <w:rPr>
                <w:rFonts w:ascii="Calibri" w:cs="Calibri" w:eastAsia="Calibri" w:hAnsi="Calibri"/>
                <w:sz w:val="19"/>
                <w:szCs w:val="19"/>
              </w:rPr>
              <w:t xml:space="preserve">Visual Studio Code</w:t>
            </w:r>
          </w:p>
        </w:tc>
        <w:tc>
          <w:tcPr>
            <w:tcW w:type="dxa" w:w="6360"/>
            <w:tcMar>
              <w:top w:type="dxa" w:w="60"/>
              <w:left w:type="dxa" w:w="110"/>
              <w:bottom w:type="dxa" w:w="60"/>
              <w:right w:type="dxa" w:w="110"/>
            </w:tcMar>
          </w:tcPr>
          <w:p>
            <w:pPr>
              <w:spacing w:after="0" w:line="252"/>
            </w:pPr>
            <w:r>
              <w:rPr>
                <w:rFonts w:ascii="Calibri" w:cs="Calibri" w:eastAsia="Calibri" w:hAnsi="Calibri"/>
                <w:sz w:val="19"/>
                <w:szCs w:val="19"/>
              </w:rPr>
              <w:t xml:space="preserve">Full. Prompt rewriting, policy rules and measurement all operate</w:t>
            </w:r>
          </w:p>
        </w:tc>
      </w:tr>
      <w:tr>
        <w:tc>
          <w:tcPr>
            <w:tcW w:type="dxa" w:w="30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Claude Code</w:t>
            </w:r>
          </w:p>
        </w:tc>
        <w:tc>
          <w:tcPr>
            <w:tcW w:type="dxa" w:w="6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Full. Same mechanism</w:t>
            </w:r>
          </w:p>
        </w:tc>
      </w:tr>
      <w:tr>
        <w:tc>
          <w:tcPr>
            <w:tcW w:type="dxa" w:w="3000"/>
            <w:tcMar>
              <w:top w:type="dxa" w:w="60"/>
              <w:left w:type="dxa" w:w="110"/>
              <w:bottom w:type="dxa" w:w="60"/>
              <w:right w:type="dxa" w:w="110"/>
            </w:tcMar>
          </w:tcPr>
          <w:p>
            <w:pPr>
              <w:spacing w:after="0" w:line="252"/>
            </w:pPr>
            <w:r>
              <w:rPr>
                <w:rFonts w:ascii="Calibri" w:cs="Calibri" w:eastAsia="Calibri" w:hAnsi="Calibri"/>
                <w:sz w:val="19"/>
                <w:szCs w:val="19"/>
              </w:rPr>
              <w:t xml:space="preserve">GitHub Copilot CLI</w:t>
            </w:r>
          </w:p>
        </w:tc>
        <w:tc>
          <w:tcPr>
            <w:tcW w:type="dxa" w:w="6360"/>
            <w:tcMar>
              <w:top w:type="dxa" w:w="60"/>
              <w:left w:type="dxa" w:w="110"/>
              <w:bottom w:type="dxa" w:w="60"/>
              <w:right w:type="dxa" w:w="110"/>
            </w:tcMar>
          </w:tcPr>
          <w:p>
            <w:pPr>
              <w:spacing w:after="0" w:line="252"/>
            </w:pPr>
            <w:r>
              <w:rPr>
                <w:rFonts w:ascii="Calibri" w:cs="Calibri" w:eastAsia="Calibri" w:hAnsi="Calibri"/>
                <w:sz w:val="19"/>
                <w:szCs w:val="19"/>
              </w:rPr>
              <w:t xml:space="preserve">Available but not yet implemented; requires a second configuration format</w:t>
            </w:r>
          </w:p>
        </w:tc>
      </w:tr>
      <w:tr>
        <w:tc>
          <w:tcPr>
            <w:tcW w:type="dxa" w:w="30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JetBrains / IntelliJ</w:t>
            </w:r>
          </w:p>
        </w:tc>
        <w:tc>
          <w:tcPr>
            <w:tcW w:type="dxa" w:w="6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None. Instruction and workflow files only</w:t>
            </w:r>
          </w:p>
        </w:tc>
      </w:tr>
    </w:tbl>
    <w:p>
      <w:pPr>
        <w:spacing w:after="160"/>
      </w:pPr>
    </w:p>
    <w:p>
      <w:pPr>
        <w:spacing w:after="120" w:line="276"/>
      </w:pPr>
      <w:r>
        <w:rPr>
          <w:rFonts w:ascii="Calibri" w:cs="Calibri" w:eastAsia="Calibri" w:hAnsi="Calibri"/>
          <w:b/>
          <w:bCs/>
          <w:sz w:val="21"/>
          <w:szCs w:val="21"/>
        </w:rPr>
        <w:t xml:space="preserve">JetBrains is not supported by the interception mechanism. </w:t>
      </w:r>
      <w:r>
        <w:rPr>
          <w:rFonts w:ascii="Calibri" w:cs="Calibri" w:eastAsia="Calibri" w:hAnsi="Calibri"/>
          <w:sz w:val="21"/>
          <w:szCs w:val="21"/>
        </w:rPr>
        <w:t xml:space="preserve">Engineers working on Java and Spring Boot in IntelliJ receive the instruction and workflow files but no prompt rewriting, no policy rules and no measurement. This is a genuine gap in coverage and must be described as such rather than presented as equivalent protection. A decision is requested at Section 13.</w:t>
      </w:r>
    </w:p>
    <w:p>
      <w:pPr>
        <w:spacing w:after="120" w:line="276"/>
      </w:pPr>
      <w:r>
        <w:rPr>
          <w:rFonts w:ascii="Calibri" w:cs="Calibri" w:eastAsia="Calibri" w:hAnsi="Calibri"/>
          <w:b/>
          <w:bCs/>
          <w:sz w:val="21"/>
          <w:szCs w:val="21"/>
        </w:rPr>
        <w:t xml:space="preserve">The mechanism is a guardrail, not an enforced control. </w:t>
      </w:r>
      <w:r>
        <w:rPr>
          <w:rFonts w:ascii="Calibri" w:cs="Calibri" w:eastAsia="Calibri" w:hAnsi="Calibri"/>
          <w:sz w:val="21"/>
          <w:szCs w:val="21"/>
        </w:rPr>
        <w:t xml:space="preserve">A developer is able to disable it, and if it does not respond promptly it permits the prompt to proceed rather than obstructing work. Converting it into a control that an auditor may rely upon requires a device-management policy applied to managed workstations. That is a workstation-engineering activity outside the scope of this platform. Until it is in place, the platform should be represented as strong assistance rather than as a control.</w:t>
      </w:r>
    </w:p>
    <w:p>
      <w:pPr>
        <w:spacing w:after="120" w:line="276"/>
      </w:pPr>
      <w:r>
        <w:rPr>
          <w:rFonts w:ascii="Calibri" w:cs="Calibri" w:eastAsia="Calibri" w:hAnsi="Calibri"/>
          <w:b/>
          <w:bCs/>
          <w:sz w:val="21"/>
          <w:szCs w:val="21"/>
        </w:rPr>
        <w:t xml:space="preserve">A runtime component is required. </w:t>
      </w:r>
      <w:r>
        <w:rPr>
          <w:rFonts w:ascii="Calibri" w:cs="Calibri" w:eastAsia="Calibri" w:hAnsi="Calibri"/>
          <w:sz w:val="21"/>
          <w:szCs w:val="21"/>
        </w:rPr>
        <w:t xml:space="preserve">The interception component requires a common developer runtime. Where it is absent, prompts proceed without governance and the developer diagnostic command reports the condition.</w:t>
      </w:r>
    </w:p>
    <w:p>
      <w:pPr>
        <w:spacing w:after="120" w:line="276"/>
      </w:pPr>
      <w:r>
        <w:rPr>
          <w:rFonts w:ascii="Calibri" w:cs="Calibri" w:eastAsia="Calibri" w:hAnsi="Calibri"/>
          <w:b/>
          <w:bCs/>
          <w:sz w:val="21"/>
          <w:szCs w:val="21"/>
        </w:rPr>
        <w:t xml:space="preserve">Policy rules are not yet connected to the enterprise ruleset. </w:t>
      </w:r>
      <w:r>
        <w:rPr>
          <w:rFonts w:ascii="Calibri" w:cs="Calibri" w:eastAsia="Calibri" w:hAnsi="Calibri"/>
          <w:sz w:val="21"/>
          <w:szCs w:val="21"/>
        </w:rPr>
        <w:t xml:space="preserve">The seven rule families are authored by hand. The intended design connects them to the existing enterprise vulnerability ruleset so that rules are maintained in one place. Implementation requires the export format for that ruleset.</w:t>
      </w:r>
    </w:p>
    <w:p>
      <w:pPr>
        <w:spacing w:after="120" w:line="276"/>
      </w:pPr>
      <w:r>
        <w:rPr>
          <w:rFonts w:ascii="Calibri" w:cs="Calibri" w:eastAsia="Calibri" w:hAnsi="Calibri"/>
          <w:b/>
          <w:bCs/>
          <w:sz w:val="21"/>
          <w:szCs w:val="21"/>
        </w:rPr>
        <w:t xml:space="preserve">Task classification is pattern-based. </w:t>
      </w:r>
      <w:r>
        <w:rPr>
          <w:rFonts w:ascii="Calibri" w:cs="Calibri" w:eastAsia="Calibri" w:hAnsi="Calibri"/>
          <w:sz w:val="21"/>
          <w:szCs w:val="21"/>
        </w:rPr>
        <w:t xml:space="preserve">A prompt classified incorrectly receives the wrong workflow. The reporting command exposes the distribution of classifications, which is the means of detecting and correcting this.</w:t>
      </w:r>
    </w:p>
    <w:p>
      <w:pPr>
        <w:pStyle w:val="Heading1"/>
        <w:spacing w:after="140" w:before="280"/>
      </w:pPr>
      <w:r>
        <w:rPr>
          <w:rFonts w:ascii="Calibri" w:cs="Calibri" w:eastAsia="Calibri" w:hAnsi="Calibri"/>
          <w:b/>
          <w:bCs/>
          <w:color w:val="1F3864"/>
        </w:rPr>
        <w:t xml:space="preserve">7. Risk Register</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100"/>
        <w:gridCol w:w="1100"/>
        <w:gridCol w:w="5160"/>
      </w:tblGrid>
      <w:tr>
        <w:trPr>
          <w:tblHeader/>
        </w:trPr>
        <w:tc>
          <w:tcPr>
            <w:tcW w:type="dxa" w:w="31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Risk</w:t>
            </w:r>
          </w:p>
        </w:tc>
        <w:tc>
          <w:tcPr>
            <w:tcW w:type="dxa" w:w="11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Rating</w:t>
            </w:r>
          </w:p>
        </w:tc>
        <w:tc>
          <w:tcPr>
            <w:tcW w:type="dxa" w:w="51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Mitigation</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Policy rules obstruct legitimate work</w:t>
            </w:r>
          </w:p>
        </w:tc>
        <w:tc>
          <w:tcPr>
            <w:tcW w:type="dxa" w:w="1100"/>
            <w:tcMar>
              <w:top w:type="dxa" w:w="60"/>
              <w:left w:type="dxa" w:w="110"/>
              <w:bottom w:type="dxa" w:w="60"/>
              <w:right w:type="dxa" w:w="110"/>
            </w:tcMar>
          </w:tcPr>
          <w:p>
            <w:pPr>
              <w:spacing w:after="0" w:line="252"/>
            </w:pPr>
            <w:r>
              <w:rPr>
                <w:rFonts w:ascii="Calibri" w:cs="Calibri" w:eastAsia="Calibri" w:hAnsi="Calibri"/>
                <w:sz w:val="19"/>
                <w:szCs w:val="19"/>
              </w:rPr>
              <w:t xml:space="preserve">Low</w:t>
            </w:r>
          </w:p>
        </w:tc>
        <w:tc>
          <w:tcPr>
            <w:tcW w:type="dxa" w:w="5160"/>
            <w:tcMar>
              <w:top w:type="dxa" w:w="60"/>
              <w:left w:type="dxa" w:w="110"/>
              <w:bottom w:type="dxa" w:w="60"/>
              <w:right w:type="dxa" w:w="110"/>
            </w:tcMar>
          </w:tcPr>
          <w:p>
            <w:pPr>
              <w:spacing w:after="0" w:line="252"/>
            </w:pPr>
            <w:r>
              <w:rPr>
                <w:rFonts w:ascii="Calibri" w:cs="Calibri" w:eastAsia="Calibri" w:hAnsi="Calibri"/>
                <w:sz w:val="19"/>
                <w:szCs w:val="19"/>
              </w:rPr>
              <w:t xml:space="preserve">All rules ship non-blocking; activation is per rule and evidence-based</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Developers disable the mechanism</w:t>
            </w:r>
          </w:p>
        </w:tc>
        <w:tc>
          <w:tcPr>
            <w:tcW w:type="dxa" w:w="1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Medium</w:t>
            </w:r>
          </w:p>
        </w:tc>
        <w:tc>
          <w:tcPr>
            <w:tcW w:type="dxa" w:w="5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Device-management policy (approval requested); measurement reveals non-participation</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Java estate remains ungoverned in IntelliJ</w:t>
            </w:r>
          </w:p>
        </w:tc>
        <w:tc>
          <w:tcPr>
            <w:tcW w:type="dxa" w:w="1100"/>
            <w:tcMar>
              <w:top w:type="dxa" w:w="60"/>
              <w:left w:type="dxa" w:w="110"/>
              <w:bottom w:type="dxa" w:w="60"/>
              <w:right w:type="dxa" w:w="110"/>
            </w:tcMar>
          </w:tcPr>
          <w:p>
            <w:pPr>
              <w:spacing w:after="0" w:line="252"/>
            </w:pPr>
            <w:r>
              <w:rPr>
                <w:rFonts w:ascii="Calibri" w:cs="Calibri" w:eastAsia="Calibri" w:hAnsi="Calibri"/>
                <w:sz w:val="19"/>
                <w:szCs w:val="19"/>
              </w:rPr>
              <w:t xml:space="preserve">Medium</w:t>
            </w:r>
          </w:p>
        </w:tc>
        <w:tc>
          <w:tcPr>
            <w:tcW w:type="dxa" w:w="5160"/>
            <w:tcMar>
              <w:top w:type="dxa" w:w="60"/>
              <w:left w:type="dxa" w:w="110"/>
              <w:bottom w:type="dxa" w:w="60"/>
              <w:right w:type="dxa" w:w="110"/>
            </w:tcMar>
          </w:tcPr>
          <w:p>
            <w:pPr>
              <w:spacing w:after="0" w:line="252"/>
            </w:pPr>
            <w:r>
              <w:rPr>
                <w:rFonts w:ascii="Calibri" w:cs="Calibri" w:eastAsia="Calibri" w:hAnsi="Calibri"/>
                <w:sz w:val="19"/>
                <w:szCs w:val="19"/>
              </w:rPr>
              <w:t xml:space="preserve">Decision requested at Section 13</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Prompt misclassified, wrong workflow applied</w:t>
            </w:r>
          </w:p>
        </w:tc>
        <w:tc>
          <w:tcPr>
            <w:tcW w:type="dxa" w:w="1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Low</w:t>
            </w:r>
          </w:p>
        </w:tc>
        <w:tc>
          <w:tcPr>
            <w:tcW w:type="dxa" w:w="5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Original wording always preserved; classification distribution reviewed in pilot</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Component failure interrupts development</w:t>
            </w:r>
          </w:p>
        </w:tc>
        <w:tc>
          <w:tcPr>
            <w:tcW w:type="dxa" w:w="1100"/>
            <w:tcMar>
              <w:top w:type="dxa" w:w="60"/>
              <w:left w:type="dxa" w:w="110"/>
              <w:bottom w:type="dxa" w:w="60"/>
              <w:right w:type="dxa" w:w="110"/>
            </w:tcMar>
          </w:tcPr>
          <w:p>
            <w:pPr>
              <w:spacing w:after="0" w:line="252"/>
            </w:pPr>
            <w:r>
              <w:rPr>
                <w:rFonts w:ascii="Calibri" w:cs="Calibri" w:eastAsia="Calibri" w:hAnsi="Calibri"/>
                <w:sz w:val="19"/>
                <w:szCs w:val="19"/>
              </w:rPr>
              <w:t xml:space="preserve">Low</w:t>
            </w:r>
          </w:p>
        </w:tc>
        <w:tc>
          <w:tcPr>
            <w:tcW w:type="dxa" w:w="5160"/>
            <w:tcMar>
              <w:top w:type="dxa" w:w="60"/>
              <w:left w:type="dxa" w:w="110"/>
              <w:bottom w:type="dxa" w:w="60"/>
              <w:right w:type="dxa" w:w="110"/>
            </w:tcMar>
          </w:tcPr>
          <w:p>
            <w:pPr>
              <w:spacing w:after="0" w:line="252"/>
            </w:pPr>
            <w:r>
              <w:rPr>
                <w:rFonts w:ascii="Calibri" w:cs="Calibri" w:eastAsia="Calibri" w:hAnsi="Calibri"/>
                <w:sz w:val="19"/>
                <w:szCs w:val="19"/>
              </w:rPr>
              <w:t xml:space="preserve">Designed to permit the prompt to proceed on any fault; verified by test</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Content injection cost grows unchecked</w:t>
            </w:r>
          </w:p>
        </w:tc>
        <w:tc>
          <w:tcPr>
            <w:tcW w:type="dxa" w:w="1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Low</w:t>
            </w:r>
          </w:p>
        </w:tc>
        <w:tc>
          <w:tcPr>
            <w:tcW w:type="dxa" w:w="5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Word budgets enforced automatically; build fails when exceeded</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Repository-local customisation lost during distribution</w:t>
            </w:r>
          </w:p>
        </w:tc>
        <w:tc>
          <w:tcPr>
            <w:tcW w:type="dxa" w:w="1100"/>
            <w:tcMar>
              <w:top w:type="dxa" w:w="60"/>
              <w:left w:type="dxa" w:w="110"/>
              <w:bottom w:type="dxa" w:w="60"/>
              <w:right w:type="dxa" w:w="110"/>
            </w:tcMar>
          </w:tcPr>
          <w:p>
            <w:pPr>
              <w:spacing w:after="0" w:line="252"/>
            </w:pPr>
            <w:r>
              <w:rPr>
                <w:rFonts w:ascii="Calibri" w:cs="Calibri" w:eastAsia="Calibri" w:hAnsi="Calibri"/>
                <w:sz w:val="19"/>
                <w:szCs w:val="19"/>
              </w:rPr>
              <w:t xml:space="preserve">Low</w:t>
            </w:r>
          </w:p>
        </w:tc>
        <w:tc>
          <w:tcPr>
            <w:tcW w:type="dxa" w:w="5160"/>
            <w:tcMar>
              <w:top w:type="dxa" w:w="60"/>
              <w:left w:type="dxa" w:w="110"/>
              <w:bottom w:type="dxa" w:w="60"/>
              <w:right w:type="dxa" w:w="110"/>
            </w:tcMar>
          </w:tcPr>
          <w:p>
            <w:pPr>
              <w:spacing w:after="0" w:line="252"/>
            </w:pPr>
            <w:r>
              <w:rPr>
                <w:rFonts w:ascii="Calibri" w:cs="Calibri" w:eastAsia="Calibri" w:hAnsi="Calibri"/>
                <w:sz w:val="19"/>
                <w:szCs w:val="19"/>
              </w:rPr>
              <w:t xml:space="preserve">Override sections preserved; distribution refuses to proceed on ambiguity</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Vendor interface changes</w:t>
            </w:r>
          </w:p>
        </w:tc>
        <w:tc>
          <w:tcPr>
            <w:tcW w:type="dxa" w:w="1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Medium</w:t>
            </w:r>
          </w:p>
        </w:tc>
        <w:tc>
          <w:tcPr>
            <w:tcW w:type="dxa" w:w="5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Interface is in preview; recorded in technical documentation and re-verified each checkpoint</w:t>
            </w:r>
          </w:p>
        </w:tc>
      </w:tr>
    </w:tbl>
    <w:p>
      <w:pPr>
        <w:pStyle w:val="Heading1"/>
        <w:spacing w:after="140" w:before="280"/>
      </w:pPr>
      <w:r>
        <w:rPr>
          <w:rFonts w:ascii="Calibri" w:cs="Calibri" w:eastAsia="Calibri" w:hAnsi="Calibri"/>
          <w:b/>
          <w:bCs/>
          <w:color w:val="1F3864"/>
        </w:rPr>
        <w:t xml:space="preserve">8. Prerequisites and Dependencies</w:t>
      </w:r>
    </w:p>
    <w:p>
      <w:pPr>
        <w:spacing w:after="120" w:line="276"/>
      </w:pPr>
      <w:r>
        <w:rPr>
          <w:rFonts w:ascii="Calibri" w:cs="Calibri" w:eastAsia="Calibri" w:hAnsi="Calibri"/>
          <w:sz w:val="21"/>
          <w:szCs w:val="21"/>
        </w:rPr>
        <w:t xml:space="preserve">No component of this platform requires new infrastructure, a new vendor, a new data flow, or additional licensing. All dependencies below are either already present in the estate or are configuration of existing services.</w:t>
      </w:r>
    </w:p>
    <w:p>
      <w:pPr>
        <w:pStyle w:val="Heading2"/>
        <w:spacing w:after="140" w:before="280"/>
      </w:pPr>
      <w:r>
        <w:rPr>
          <w:rFonts w:ascii="Calibri" w:cs="Calibri" w:eastAsia="Calibri" w:hAnsi="Calibri"/>
          <w:b/>
          <w:bCs/>
          <w:color w:val="1F3864"/>
        </w:rPr>
        <w:t xml:space="preserve">8.1 Platform dependencies</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100"/>
        <w:gridCol w:w="1900"/>
        <w:gridCol w:w="4360"/>
      </w:tblGrid>
      <w:tr>
        <w:trPr>
          <w:tblHeader/>
        </w:trPr>
        <w:tc>
          <w:tcPr>
            <w:tcW w:type="dxa" w:w="31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Dependency</w:t>
            </w:r>
          </w:p>
        </w:tc>
        <w:tc>
          <w:tcPr>
            <w:tcW w:type="dxa" w:w="19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Status</w:t>
            </w:r>
          </w:p>
        </w:tc>
        <w:tc>
          <w:tcPr>
            <w:tcW w:type="dxa" w:w="43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Note</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GitHub Copilot licences</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Already in place</w:t>
            </w:r>
          </w:p>
        </w:tc>
        <w:tc>
          <w:tcPr>
            <w:tcW w:type="dxa" w:w="4360"/>
            <w:tcMar>
              <w:top w:type="dxa" w:w="60"/>
              <w:left w:type="dxa" w:w="110"/>
              <w:bottom w:type="dxa" w:w="60"/>
              <w:right w:type="dxa" w:w="110"/>
            </w:tcMar>
          </w:tcPr>
          <w:p>
            <w:pPr>
              <w:spacing w:after="0" w:line="252"/>
            </w:pPr>
            <w:r>
              <w:rPr>
                <w:rFonts w:ascii="Calibri" w:cs="Calibri" w:eastAsia="Calibri" w:hAnsi="Calibri"/>
                <w:sz w:val="19"/>
                <w:szCs w:val="19"/>
              </w:rPr>
              <w:t xml:space="preserve">No change to licence, tenancy or model selection</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GitHub organisation with Actions enabled</w:t>
            </w:r>
          </w:p>
        </w:tc>
        <w:tc>
          <w:tcPr>
            <w:tcW w:type="dxa" w:w="1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Already in place</w:t>
            </w:r>
          </w:p>
        </w:tc>
        <w:tc>
          <w:tcPr>
            <w:tcW w:type="dxa" w:w="4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Distribution automation runs here</w:t>
            </w:r>
          </w:p>
        </w:tc>
      </w:tr>
      <w:tr>
        <w:tc>
          <w:tcPr>
            <w:tcW w:type="dxa" w:w="3100"/>
            <w:tcMar>
              <w:top w:type="dxa" w:w="60"/>
              <w:left w:type="dxa" w:w="110"/>
              <w:bottom w:type="dxa" w:w="60"/>
              <w:right w:type="dxa" w:w="110"/>
            </w:tcMar>
          </w:tcPr>
          <w:p>
            <w:pPr>
              <w:spacing w:after="0" w:line="252"/>
            </w:pPr>
            <w:r>
              <w:rPr>
                <w:rFonts w:ascii="Calibri" w:cs="Calibri" w:eastAsia="Calibri" w:hAnsi="Calibri"/>
                <w:sz w:val="19"/>
                <w:szCs w:val="19"/>
              </w:rPr>
              <w:t xml:space="preserve">Visual Studio Code with Copilot extension</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Already in place</w:t>
            </w:r>
          </w:p>
        </w:tc>
        <w:tc>
          <w:tcPr>
            <w:tcW w:type="dxa" w:w="4360"/>
            <w:tcMar>
              <w:top w:type="dxa" w:w="60"/>
              <w:left w:type="dxa" w:w="110"/>
              <w:bottom w:type="dxa" w:w="60"/>
              <w:right w:type="dxa" w:w="110"/>
            </w:tcMar>
          </w:tcPr>
          <w:p>
            <w:pPr>
              <w:spacing w:after="0" w:line="252"/>
            </w:pPr>
            <w:r>
              <w:rPr>
                <w:rFonts w:ascii="Calibri" w:cs="Calibri" w:eastAsia="Calibri" w:hAnsi="Calibri"/>
                <w:sz w:val="19"/>
                <w:szCs w:val="19"/>
              </w:rPr>
              <w:t xml:space="preserve">Must be a version supporting agent hooks</w:t>
            </w:r>
          </w:p>
        </w:tc>
      </w:tr>
      <w:tr>
        <w:tc>
          <w:tcPr>
            <w:tcW w:type="dxa" w:w="3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Agent hooks capability</w:t>
            </w:r>
          </w:p>
        </w:tc>
        <w:tc>
          <w:tcPr>
            <w:tcW w:type="dxa" w:w="1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Vendor preview</w:t>
            </w:r>
          </w:p>
        </w:tc>
        <w:tc>
          <w:tcPr>
            <w:tcW w:type="dxa" w:w="4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The interception mechanism depends on this; see Section 6</w:t>
            </w:r>
          </w:p>
        </w:tc>
      </w:tr>
    </w:tbl>
    <w:p>
      <w:pPr>
        <w:pStyle w:val="Heading2"/>
        <w:spacing w:after="140" w:before="280"/>
      </w:pPr>
      <w:r>
        <w:rPr>
          <w:rFonts w:ascii="Calibri" w:cs="Calibri" w:eastAsia="Calibri" w:hAnsi="Calibri"/>
          <w:b/>
          <w:bCs/>
          <w:color w:val="1F3864"/>
        </w:rPr>
        <w:t xml:space="preserve">8.2 Developer workstation dependencies</w:t>
      </w:r>
    </w:p>
    <w:p>
      <w:pPr>
        <w:spacing w:after="120" w:line="276"/>
      </w:pPr>
      <w:r>
        <w:rPr>
          <w:rFonts w:ascii="Calibri" w:cs="Calibri" w:eastAsia="Calibri" w:hAnsi="Calibri"/>
          <w:sz w:val="21"/>
          <w:szCs w:val="21"/>
        </w:rPr>
        <w:t xml:space="preserve">The diagnostic command reports the presence of each of the following. Absence of an optional component causes the related check to be skipped rather than to fail.</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100"/>
        <w:gridCol w:w="2700"/>
        <w:gridCol w:w="1900"/>
        <w:gridCol w:w="2660"/>
      </w:tblGrid>
      <w:tr>
        <w:trPr>
          <w:tblHeader/>
        </w:trPr>
        <w:tc>
          <w:tcPr>
            <w:tcW w:type="dxa" w:w="21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Component</w:t>
            </w:r>
          </w:p>
        </w:tc>
        <w:tc>
          <w:tcPr>
            <w:tcW w:type="dxa" w:w="27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Required for</w:t>
            </w:r>
          </w:p>
        </w:tc>
        <w:tc>
          <w:tcPr>
            <w:tcW w:type="dxa" w:w="19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Status</w:t>
            </w:r>
          </w:p>
        </w:tc>
        <w:tc>
          <w:tcPr>
            <w:tcW w:type="dxa" w:w="26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If absent</w:t>
            </w:r>
          </w:p>
        </w:tc>
      </w:tr>
      <w:tr>
        <w:tc>
          <w:tcPr>
            <w:tcW w:type="dxa" w:w="2100"/>
            <w:tcMar>
              <w:top w:type="dxa" w:w="60"/>
              <w:left w:type="dxa" w:w="110"/>
              <w:bottom w:type="dxa" w:w="60"/>
              <w:right w:type="dxa" w:w="110"/>
            </w:tcMar>
          </w:tcPr>
          <w:p>
            <w:pPr>
              <w:spacing w:after="0" w:line="252"/>
            </w:pPr>
            <w:r>
              <w:rPr>
                <w:rFonts w:ascii="Calibri" w:cs="Calibri" w:eastAsia="Calibri" w:hAnsi="Calibri"/>
                <w:sz w:val="19"/>
                <w:szCs w:val="19"/>
              </w:rPr>
              <w:t xml:space="preserve">Git</w:t>
            </w:r>
          </w:p>
        </w:tc>
        <w:tc>
          <w:tcPr>
            <w:tcW w:type="dxa" w:w="2700"/>
            <w:tcMar>
              <w:top w:type="dxa" w:w="60"/>
              <w:left w:type="dxa" w:w="110"/>
              <w:bottom w:type="dxa" w:w="60"/>
              <w:right w:type="dxa" w:w="110"/>
            </w:tcMar>
          </w:tcPr>
          <w:p>
            <w:pPr>
              <w:spacing w:after="0" w:line="252"/>
            </w:pPr>
            <w:r>
              <w:rPr>
                <w:rFonts w:ascii="Calibri" w:cs="Calibri" w:eastAsia="Calibri" w:hAnsi="Calibri"/>
                <w:sz w:val="19"/>
                <w:szCs w:val="19"/>
              </w:rPr>
              <w:t xml:space="preserve">All functions</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Required</w:t>
            </w:r>
          </w:p>
        </w:tc>
        <w:tc>
          <w:tcPr>
            <w:tcW w:type="dxa" w:w="2660"/>
            <w:tcMar>
              <w:top w:type="dxa" w:w="60"/>
              <w:left w:type="dxa" w:w="110"/>
              <w:bottom w:type="dxa" w:w="60"/>
              <w:right w:type="dxa" w:w="110"/>
            </w:tcMar>
          </w:tcPr>
          <w:p>
            <w:pPr>
              <w:spacing w:after="0" w:line="252"/>
            </w:pPr>
            <w:r>
              <w:rPr>
                <w:rFonts w:ascii="Calibri" w:cs="Calibri" w:eastAsia="Calibri" w:hAnsi="Calibri"/>
                <w:sz w:val="19"/>
                <w:szCs w:val="19"/>
              </w:rPr>
              <w:t xml:space="preserve">Platform cannot operate</w:t>
            </w:r>
          </w:p>
        </w:tc>
      </w:tr>
      <w:tr>
        <w:tc>
          <w:tcPr>
            <w:tcW w:type="dxa" w:w="2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Node.js</w:t>
            </w:r>
          </w:p>
        </w:tc>
        <w:tc>
          <w:tcPr>
            <w:tcW w:type="dxa" w:w="2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Prompt interception, configuration self-test</w:t>
            </w:r>
          </w:p>
        </w:tc>
        <w:tc>
          <w:tcPr>
            <w:tcW w:type="dxa" w:w="1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Required for interception</w:t>
            </w:r>
          </w:p>
        </w:tc>
        <w:tc>
          <w:tcPr>
            <w:tcW w:type="dxa" w:w="26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Prompts proceed without governance; no interruption to the developer</w:t>
            </w:r>
          </w:p>
        </w:tc>
      </w:tr>
      <w:tr>
        <w:tc>
          <w:tcPr>
            <w:tcW w:type="dxa" w:w="2100"/>
            <w:tcMar>
              <w:top w:type="dxa" w:w="60"/>
              <w:left w:type="dxa" w:w="110"/>
              <w:bottom w:type="dxa" w:w="60"/>
              <w:right w:type="dxa" w:w="110"/>
            </w:tcMar>
          </w:tcPr>
          <w:p>
            <w:pPr>
              <w:spacing w:after="0" w:line="252"/>
            </w:pPr>
            <w:r>
              <w:rPr>
                <w:rFonts w:ascii="Calibri" w:cs="Calibri" w:eastAsia="Calibri" w:hAnsi="Calibri"/>
                <w:sz w:val="19"/>
                <w:szCs w:val="19"/>
              </w:rPr>
              <w:t xml:space="preserve">Bash (Git Bash on Windows)</w:t>
            </w:r>
          </w:p>
        </w:tc>
        <w:tc>
          <w:tcPr>
            <w:tcW w:type="dxa" w:w="2700"/>
            <w:tcMar>
              <w:top w:type="dxa" w:w="60"/>
              <w:left w:type="dxa" w:w="110"/>
              <w:bottom w:type="dxa" w:w="60"/>
              <w:right w:type="dxa" w:w="110"/>
            </w:tcMar>
          </w:tcPr>
          <w:p>
            <w:pPr>
              <w:spacing w:after="0" w:line="252"/>
            </w:pPr>
            <w:r>
              <w:rPr>
                <w:rFonts w:ascii="Calibri" w:cs="Calibri" w:eastAsia="Calibri" w:hAnsi="Calibri"/>
                <w:sz w:val="19"/>
                <w:szCs w:val="19"/>
              </w:rPr>
              <w:t xml:space="preserve">Command-line tool, distribution</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Required for those functions</w:t>
            </w:r>
          </w:p>
        </w:tc>
        <w:tc>
          <w:tcPr>
            <w:tcW w:type="dxa" w:w="2660"/>
            <w:tcMar>
              <w:top w:type="dxa" w:w="60"/>
              <w:left w:type="dxa" w:w="110"/>
              <w:bottom w:type="dxa" w:w="60"/>
              <w:right w:type="dxa" w:w="110"/>
            </w:tcMar>
          </w:tcPr>
          <w:p>
            <w:pPr>
              <w:spacing w:after="0" w:line="252"/>
            </w:pPr>
            <w:r>
              <w:rPr>
                <w:rFonts w:ascii="Calibri" w:cs="Calibri" w:eastAsia="Calibri" w:hAnsi="Calibri"/>
                <w:sz w:val="19"/>
                <w:szCs w:val="19"/>
              </w:rPr>
              <w:t xml:space="preserve">Use the PowerShell edition for local functions</w:t>
            </w:r>
          </w:p>
        </w:tc>
      </w:tr>
      <w:tr>
        <w:tc>
          <w:tcPr>
            <w:tcW w:type="dxa" w:w="2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Windows PowerShell 5.1</w:t>
            </w:r>
          </w:p>
        </w:tc>
        <w:tc>
          <w:tcPr>
            <w:tcW w:type="dxa" w:w="2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Windows command-line edition</w:t>
            </w:r>
          </w:p>
        </w:tc>
        <w:tc>
          <w:tcPr>
            <w:tcW w:type="dxa" w:w="1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Alternative to Bash</w:t>
            </w:r>
          </w:p>
        </w:tc>
        <w:tc>
          <w:tcPr>
            <w:tcW w:type="dxa" w:w="26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 effect if Bash is present</w:t>
            </w:r>
          </w:p>
        </w:tc>
      </w:tr>
      <w:tr>
        <w:tc>
          <w:tcPr>
            <w:tcW w:type="dxa" w:w="2100"/>
            <w:tcMar>
              <w:top w:type="dxa" w:w="60"/>
              <w:left w:type="dxa" w:w="110"/>
              <w:bottom w:type="dxa" w:w="60"/>
              <w:right w:type="dxa" w:w="110"/>
            </w:tcMar>
          </w:tcPr>
          <w:p>
            <w:pPr>
              <w:spacing w:after="0" w:line="252"/>
            </w:pPr>
            <w:r>
              <w:rPr>
                <w:rFonts w:ascii="Calibri" w:cs="Calibri" w:eastAsia="Calibri" w:hAnsi="Calibri"/>
                <w:sz w:val="19"/>
                <w:szCs w:val="19"/>
              </w:rPr>
              <w:t xml:space="preserve">GitHub CLI</w:t>
            </w:r>
          </w:p>
        </w:tc>
        <w:tc>
          <w:tcPr>
            <w:tcW w:type="dxa" w:w="2700"/>
            <w:tcMar>
              <w:top w:type="dxa" w:w="60"/>
              <w:left w:type="dxa" w:w="110"/>
              <w:bottom w:type="dxa" w:w="60"/>
              <w:right w:type="dxa" w:w="110"/>
            </w:tcMar>
          </w:tcPr>
          <w:p>
            <w:pPr>
              <w:spacing w:after="0" w:line="252"/>
            </w:pPr>
            <w:r>
              <w:rPr>
                <w:rFonts w:ascii="Calibri" w:cs="Calibri" w:eastAsia="Calibri" w:hAnsi="Calibri"/>
                <w:sz w:val="19"/>
                <w:szCs w:val="19"/>
              </w:rPr>
              <w:t xml:space="preserve">Distribution only</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Required on the machine running distribution</w:t>
            </w:r>
          </w:p>
        </w:tc>
        <w:tc>
          <w:tcPr>
            <w:tcW w:type="dxa" w:w="2660"/>
            <w:tcMar>
              <w:top w:type="dxa" w:w="60"/>
              <w:left w:type="dxa" w:w="110"/>
              <w:bottom w:type="dxa" w:w="60"/>
              <w:right w:type="dxa" w:w="110"/>
            </w:tcMar>
          </w:tcPr>
          <w:p>
            <w:pPr>
              <w:spacing w:after="0" w:line="252"/>
            </w:pPr>
            <w:r>
              <w:rPr>
                <w:rFonts w:ascii="Calibri" w:cs="Calibri" w:eastAsia="Calibri" w:hAnsi="Calibri"/>
                <w:sz w:val="19"/>
                <w:szCs w:val="19"/>
              </w:rPr>
              <w:t xml:space="preserve">Distribution cannot run; local functions unaffected</w:t>
            </w:r>
          </w:p>
        </w:tc>
      </w:tr>
      <w:tr>
        <w:tc>
          <w:tcPr>
            <w:tcW w:type="dxa" w:w="21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jq</w:t>
            </w:r>
          </w:p>
        </w:tc>
        <w:tc>
          <w:tcPr>
            <w:tcW w:type="dxa" w:w="27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Register and configuration checks</w:t>
            </w:r>
          </w:p>
        </w:tc>
        <w:tc>
          <w:tcPr>
            <w:tcW w:type="dxa" w:w="1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Optional</w:t>
            </w:r>
          </w:p>
        </w:tc>
        <w:tc>
          <w:tcPr>
            <w:tcW w:type="dxa" w:w="26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Those checks are skipped, reported as skipped</w:t>
            </w:r>
          </w:p>
        </w:tc>
      </w:tr>
      <w:tr>
        <w:tc>
          <w:tcPr>
            <w:tcW w:type="dxa" w:w="2100"/>
            <w:tcMar>
              <w:top w:type="dxa" w:w="60"/>
              <w:left w:type="dxa" w:w="110"/>
              <w:bottom w:type="dxa" w:w="60"/>
              <w:right w:type="dxa" w:w="110"/>
            </w:tcMar>
          </w:tcPr>
          <w:p>
            <w:pPr>
              <w:spacing w:after="0" w:line="252"/>
            </w:pPr>
            <w:r>
              <w:rPr>
                <w:rFonts w:ascii="Calibri" w:cs="Calibri" w:eastAsia="Calibri" w:hAnsi="Calibri"/>
                <w:sz w:val="19"/>
                <w:szCs w:val="19"/>
              </w:rPr>
              <w:t xml:space="preserve">ripgrep</w:t>
            </w:r>
          </w:p>
        </w:tc>
        <w:tc>
          <w:tcPr>
            <w:tcW w:type="dxa" w:w="2700"/>
            <w:tcMar>
              <w:top w:type="dxa" w:w="60"/>
              <w:left w:type="dxa" w:w="110"/>
              <w:bottom w:type="dxa" w:w="60"/>
              <w:right w:type="dxa" w:w="110"/>
            </w:tcMar>
          </w:tcPr>
          <w:p>
            <w:pPr>
              <w:spacing w:after="0" w:line="252"/>
            </w:pPr>
            <w:r>
              <w:rPr>
                <w:rFonts w:ascii="Calibri" w:cs="Calibri" w:eastAsia="Calibri" w:hAnsi="Calibri"/>
                <w:sz w:val="19"/>
                <w:szCs w:val="19"/>
              </w:rPr>
              <w:t xml:space="preserve">Codebase audit command</w:t>
            </w:r>
          </w:p>
        </w:tc>
        <w:tc>
          <w:tcPr>
            <w:tcW w:type="dxa" w:w="1900"/>
            <w:tcMar>
              <w:top w:type="dxa" w:w="60"/>
              <w:left w:type="dxa" w:w="110"/>
              <w:bottom w:type="dxa" w:w="60"/>
              <w:right w:type="dxa" w:w="110"/>
            </w:tcMar>
          </w:tcPr>
          <w:p>
            <w:pPr>
              <w:spacing w:after="0" w:line="252"/>
            </w:pPr>
            <w:r>
              <w:rPr>
                <w:rFonts w:ascii="Calibri" w:cs="Calibri" w:eastAsia="Calibri" w:hAnsi="Calibri"/>
                <w:sz w:val="19"/>
                <w:szCs w:val="19"/>
              </w:rPr>
              <w:t xml:space="preserve">Optional</w:t>
            </w:r>
          </w:p>
        </w:tc>
        <w:tc>
          <w:tcPr>
            <w:tcW w:type="dxa" w:w="2660"/>
            <w:tcMar>
              <w:top w:type="dxa" w:w="60"/>
              <w:left w:type="dxa" w:w="110"/>
              <w:bottom w:type="dxa" w:w="60"/>
              <w:right w:type="dxa" w:w="110"/>
            </w:tcMar>
          </w:tcPr>
          <w:p>
            <w:pPr>
              <w:spacing w:after="0" w:line="252"/>
            </w:pPr>
            <w:r>
              <w:rPr>
                <w:rFonts w:ascii="Calibri" w:cs="Calibri" w:eastAsia="Calibri" w:hAnsi="Calibri"/>
                <w:sz w:val="19"/>
                <w:szCs w:val="19"/>
              </w:rPr>
              <w:t xml:space="preserve">Audit command unavailable</w:t>
            </w:r>
          </w:p>
        </w:tc>
      </w:tr>
    </w:tbl>
    <w:p>
      <w:pPr>
        <w:spacing w:after="160"/>
      </w:pPr>
    </w:p>
    <w:p>
      <w:pPr>
        <w:spacing w:after="120" w:line="276"/>
      </w:pPr>
      <w:r>
        <w:rPr>
          <w:rFonts w:ascii="Calibri" w:cs="Calibri" w:eastAsia="Calibri" w:hAnsi="Calibri"/>
          <w:sz w:val="21"/>
          <w:szCs w:val="21"/>
        </w:rPr>
        <w:t xml:space="preserve">Developers require no manual installation or configuration. Interception arrives with the normal distribution and activates without developer action, provided Node.js is present.</w:t>
      </w:r>
    </w:p>
    <w:p>
      <w:pPr>
        <w:pStyle w:val="Heading2"/>
        <w:spacing w:after="140" w:before="280"/>
      </w:pPr>
      <w:r>
        <w:rPr>
          <w:rFonts w:ascii="Calibri" w:cs="Calibri" w:eastAsia="Calibri" w:hAnsi="Calibri"/>
          <w:b/>
          <w:bCs/>
          <w:color w:val="1F3864"/>
        </w:rPr>
        <w:t xml:space="preserve">8.3 Automation dependencies</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800"/>
        <w:gridCol w:w="6560"/>
      </w:tblGrid>
      <w:tr>
        <w:trPr>
          <w:tblHeader/>
        </w:trPr>
        <w:tc>
          <w:tcPr>
            <w:tcW w:type="dxa" w:w="28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Dependency</w:t>
            </w:r>
          </w:p>
        </w:tc>
        <w:tc>
          <w:tcPr>
            <w:tcW w:type="dxa" w:w="65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Detail</w:t>
            </w:r>
          </w:p>
        </w:tc>
      </w:tr>
      <w:tr>
        <w:tc>
          <w:tcPr>
            <w:tcW w:type="dxa" w:w="2800"/>
            <w:tcMar>
              <w:top w:type="dxa" w:w="60"/>
              <w:left w:type="dxa" w:w="110"/>
              <w:bottom w:type="dxa" w:w="60"/>
              <w:right w:type="dxa" w:w="110"/>
            </w:tcMar>
          </w:tcPr>
          <w:p>
            <w:pPr>
              <w:spacing w:after="0" w:line="252"/>
            </w:pPr>
            <w:r>
              <w:rPr>
                <w:rFonts w:ascii="Calibri" w:cs="Calibri" w:eastAsia="Calibri" w:hAnsi="Calibri"/>
                <w:sz w:val="19"/>
                <w:szCs w:val="19"/>
              </w:rPr>
              <w:t xml:space="preserve">Runner</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Standard GitHub-hosted Linux runner</w:t>
            </w:r>
          </w:p>
        </w:tc>
      </w:tr>
      <w:tr>
        <w:tc>
          <w:tcPr>
            <w:tcW w:type="dxa" w:w="2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Actions used</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Repository checkout and Node.js setup, both first-party</w:t>
            </w:r>
          </w:p>
        </w:tc>
      </w:tr>
      <w:tr>
        <w:tc>
          <w:tcPr>
            <w:tcW w:type="dxa" w:w="2800"/>
            <w:tcMar>
              <w:top w:type="dxa" w:w="60"/>
              <w:left w:type="dxa" w:w="110"/>
              <w:bottom w:type="dxa" w:w="60"/>
              <w:right w:type="dxa" w:w="110"/>
            </w:tcMar>
          </w:tcPr>
          <w:p>
            <w:pPr>
              <w:spacing w:after="0" w:line="252"/>
            </w:pPr>
            <w:r>
              <w:rPr>
                <w:rFonts w:ascii="Calibri" w:cs="Calibri" w:eastAsia="Calibri" w:hAnsi="Calibri"/>
                <w:sz w:val="19"/>
                <w:szCs w:val="19"/>
              </w:rPr>
              <w:t xml:space="preserve">Credential (recommended)</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GitHub App with fine-grained repository scope and short-lived installation tokens</w:t>
            </w:r>
          </w:p>
        </w:tc>
      </w:tr>
      <w:tr>
        <w:tc>
          <w:tcPr>
            <w:tcW w:type="dxa" w:w="2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Credential (pilot alternative)</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Fine-grained personal access token, scoped only to target repositories, with Contents read and write and Pull requests read and write</w:t>
            </w:r>
          </w:p>
        </w:tc>
      </w:tr>
      <w:tr>
        <w:tc>
          <w:tcPr>
            <w:tcW w:type="dxa" w:w="2800"/>
            <w:tcMar>
              <w:top w:type="dxa" w:w="60"/>
              <w:left w:type="dxa" w:w="110"/>
              <w:bottom w:type="dxa" w:w="60"/>
              <w:right w:type="dxa" w:w="110"/>
            </w:tcMar>
          </w:tcPr>
          <w:p>
            <w:pPr>
              <w:spacing w:after="0" w:line="252"/>
            </w:pPr>
            <w:r>
              <w:rPr>
                <w:rFonts w:ascii="Calibri" w:cs="Calibri" w:eastAsia="Calibri" w:hAnsi="Calibri"/>
                <w:sz w:val="19"/>
                <w:szCs w:val="19"/>
              </w:rPr>
              <w:t xml:space="preserve">Credential storage</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Repository or organisation secret</w:t>
            </w:r>
          </w:p>
        </w:tc>
      </w:tr>
      <w:tr>
        <w:tc>
          <w:tcPr>
            <w:tcW w:type="dxa" w:w="2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Configuration variable</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Organisation name, held as a repository or organisation variable</w:t>
            </w:r>
          </w:p>
        </w:tc>
      </w:tr>
      <w:tr>
        <w:tc>
          <w:tcPr>
            <w:tcW w:type="dxa" w:w="2800"/>
            <w:tcMar>
              <w:top w:type="dxa" w:w="60"/>
              <w:left w:type="dxa" w:w="110"/>
              <w:bottom w:type="dxa" w:w="60"/>
              <w:right w:type="dxa" w:w="110"/>
            </w:tcMar>
          </w:tcPr>
          <w:p>
            <w:pPr>
              <w:spacing w:after="0" w:line="252"/>
            </w:pPr>
            <w:r>
              <w:rPr>
                <w:rFonts w:ascii="Calibri" w:cs="Calibri" w:eastAsia="Calibri" w:hAnsi="Calibri"/>
                <w:sz w:val="19"/>
                <w:szCs w:val="19"/>
              </w:rPr>
              <w:t xml:space="preserve">Permissions requested</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Read-only at workflow level; write scope is held solely by the credential and used only to raise pull requests</w:t>
            </w:r>
          </w:p>
        </w:tc>
      </w:tr>
    </w:tbl>
    <w:p>
      <w:pPr>
        <w:spacing w:after="160"/>
      </w:pPr>
    </w:p>
    <w:p>
      <w:pPr>
        <w:spacing w:after="120" w:line="276"/>
      </w:pPr>
      <w:r>
        <w:rPr>
          <w:rFonts w:ascii="Calibri" w:cs="Calibri" w:eastAsia="Calibri" w:hAnsi="Calibri"/>
          <w:sz w:val="21"/>
          <w:szCs w:val="21"/>
        </w:rPr>
        <w:t xml:space="preserve">The automation never commits to a default branch and never merges. Its maximum privilege is to open a pull request in a target repository.</w:t>
      </w:r>
    </w:p>
    <w:p>
      <w:pPr>
        <w:pStyle w:val="Heading2"/>
        <w:spacing w:after="140" w:before="280"/>
      </w:pPr>
      <w:r>
        <w:rPr>
          <w:rFonts w:ascii="Calibri" w:cs="Calibri" w:eastAsia="Calibri" w:hAnsi="Calibri"/>
          <w:b/>
          <w:bCs/>
          <w:color w:val="1F3864"/>
        </w:rPr>
        <w:t xml:space="preserve">8.4 Organisational dependencies</w:t>
      </w:r>
    </w:p>
    <w:p>
      <w:pPr>
        <w:spacing w:after="120" w:line="276"/>
      </w:pPr>
      <w:r>
        <w:rPr>
          <w:rFonts w:ascii="Calibri" w:cs="Calibri" w:eastAsia="Calibri" w:hAnsi="Calibri"/>
          <w:sz w:val="21"/>
          <w:szCs w:val="21"/>
        </w:rPr>
        <w:t xml:space="preserve">These are the true blockers. The technical work is complete; the following are required from other teams before pilot can begin or complete.</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3900"/>
        <w:gridCol w:w="3300"/>
        <w:gridCol w:w="2160"/>
      </w:tblGrid>
      <w:tr>
        <w:trPr>
          <w:tblHeader/>
        </w:trPr>
        <w:tc>
          <w:tcPr>
            <w:tcW w:type="dxa" w:w="39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Dependency</w:t>
            </w:r>
          </w:p>
        </w:tc>
        <w:tc>
          <w:tcPr>
            <w:tcW w:type="dxa" w:w="33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Required from</w:t>
            </w:r>
          </w:p>
        </w:tc>
        <w:tc>
          <w:tcPr>
            <w:tcW w:type="dxa" w:w="21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Blocks</w:t>
            </w:r>
          </w:p>
        </w:tc>
      </w:tr>
      <w:tr>
        <w:tc>
          <w:tcPr>
            <w:tcW w:type="dxa" w:w="3900"/>
            <w:tcMar>
              <w:top w:type="dxa" w:w="60"/>
              <w:left w:type="dxa" w:w="110"/>
              <w:bottom w:type="dxa" w:w="60"/>
              <w:right w:type="dxa" w:w="110"/>
            </w:tcMar>
          </w:tcPr>
          <w:p>
            <w:pPr>
              <w:spacing w:after="0" w:line="252"/>
            </w:pPr>
            <w:r>
              <w:rPr>
                <w:rFonts w:ascii="Calibri" w:cs="Calibri" w:eastAsia="Calibri" w:hAnsi="Calibri"/>
                <w:sz w:val="19"/>
                <w:szCs w:val="19"/>
              </w:rPr>
              <w:t xml:space="preserve">Correct team identifiers for code ownership rules</w:t>
            </w:r>
          </w:p>
        </w:tc>
        <w:tc>
          <w:tcPr>
            <w:tcW w:type="dxa" w:w="330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2160"/>
            <w:tcMar>
              <w:top w:type="dxa" w:w="60"/>
              <w:left w:type="dxa" w:w="110"/>
              <w:bottom w:type="dxa" w:w="60"/>
              <w:right w:type="dxa" w:w="110"/>
            </w:tcMar>
          </w:tcPr>
          <w:p>
            <w:pPr>
              <w:spacing w:after="0" w:line="252"/>
            </w:pPr>
            <w:r>
              <w:rPr>
                <w:rFonts w:ascii="Calibri" w:cs="Calibri" w:eastAsia="Calibri" w:hAnsi="Calibri"/>
                <w:sz w:val="19"/>
                <w:szCs w:val="19"/>
              </w:rPr>
              <w:t xml:space="preserve">Pilot start</w:t>
            </w:r>
          </w:p>
        </w:tc>
      </w:tr>
      <w:tr>
        <w:tc>
          <w:tcPr>
            <w:tcW w:type="dxa" w:w="3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Credential provisioning and approval</w:t>
            </w:r>
          </w:p>
        </w:tc>
        <w:tc>
          <w:tcPr>
            <w:tcW w:type="dxa" w:w="3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Security engineering and GitHub administration</w:t>
            </w:r>
          </w:p>
        </w:tc>
        <w:tc>
          <w:tcPr>
            <w:tcW w:type="dxa" w:w="2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Pilot start</w:t>
            </w:r>
          </w:p>
        </w:tc>
      </w:tr>
      <w:tr>
        <w:tc>
          <w:tcPr>
            <w:tcW w:type="dxa" w:w="3900"/>
            <w:tcMar>
              <w:top w:type="dxa" w:w="60"/>
              <w:left w:type="dxa" w:w="110"/>
              <w:bottom w:type="dxa" w:w="60"/>
              <w:right w:type="dxa" w:w="110"/>
            </w:tcMar>
          </w:tcPr>
          <w:p>
            <w:pPr>
              <w:spacing w:after="0" w:line="252"/>
            </w:pPr>
            <w:r>
              <w:rPr>
                <w:rFonts w:ascii="Calibri" w:cs="Calibri" w:eastAsia="Calibri" w:hAnsi="Calibri"/>
                <w:sz w:val="19"/>
                <w:szCs w:val="19"/>
              </w:rPr>
              <w:t xml:space="preserve">Confirmation of the four pilot repositories and their owners</w:t>
            </w:r>
          </w:p>
        </w:tc>
        <w:tc>
          <w:tcPr>
            <w:tcW w:type="dxa" w:w="3300"/>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w:t>
            </w:r>
          </w:p>
        </w:tc>
        <w:tc>
          <w:tcPr>
            <w:tcW w:type="dxa" w:w="2160"/>
            <w:tcMar>
              <w:top w:type="dxa" w:w="60"/>
              <w:left w:type="dxa" w:w="110"/>
              <w:bottom w:type="dxa" w:w="60"/>
              <w:right w:type="dxa" w:w="110"/>
            </w:tcMar>
          </w:tcPr>
          <w:p>
            <w:pPr>
              <w:spacing w:after="0" w:line="252"/>
            </w:pPr>
            <w:r>
              <w:rPr>
                <w:rFonts w:ascii="Calibri" w:cs="Calibri" w:eastAsia="Calibri" w:hAnsi="Calibri"/>
                <w:sz w:val="19"/>
                <w:szCs w:val="19"/>
              </w:rPr>
              <w:t xml:space="preserve">Pilot start</w:t>
            </w:r>
          </w:p>
        </w:tc>
      </w:tr>
      <w:tr>
        <w:tc>
          <w:tcPr>
            <w:tcW w:type="dxa" w:w="3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Export format for the enterprise vulnerability ruleset</w:t>
            </w:r>
          </w:p>
        </w:tc>
        <w:tc>
          <w:tcPr>
            <w:tcW w:type="dxa" w:w="3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Security engineering</w:t>
            </w:r>
          </w:p>
        </w:tc>
        <w:tc>
          <w:tcPr>
            <w:tcW w:type="dxa" w:w="2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Policy rule activation</w:t>
            </w:r>
          </w:p>
        </w:tc>
      </w:tr>
      <w:tr>
        <w:tc>
          <w:tcPr>
            <w:tcW w:type="dxa" w:w="3900"/>
            <w:tcMar>
              <w:top w:type="dxa" w:w="60"/>
              <w:left w:type="dxa" w:w="110"/>
              <w:bottom w:type="dxa" w:w="60"/>
              <w:right w:type="dxa" w:w="110"/>
            </w:tcMar>
          </w:tcPr>
          <w:p>
            <w:pPr>
              <w:spacing w:after="0" w:line="252"/>
            </w:pPr>
            <w:r>
              <w:rPr>
                <w:rFonts w:ascii="Calibri" w:cs="Calibri" w:eastAsia="Calibri" w:hAnsi="Calibri"/>
                <w:sz w:val="19"/>
                <w:szCs w:val="19"/>
              </w:rPr>
              <w:t xml:space="preserve">Decision on coverage for IntelliJ users</w:t>
            </w:r>
          </w:p>
        </w:tc>
        <w:tc>
          <w:tcPr>
            <w:tcW w:type="dxa" w:w="3300"/>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 with risk</w:t>
            </w:r>
          </w:p>
        </w:tc>
        <w:tc>
          <w:tcPr>
            <w:tcW w:type="dxa" w:w="2160"/>
            <w:tcMar>
              <w:top w:type="dxa" w:w="60"/>
              <w:left w:type="dxa" w:w="110"/>
              <w:bottom w:type="dxa" w:w="60"/>
              <w:right w:type="dxa" w:w="110"/>
            </w:tcMar>
          </w:tcPr>
          <w:p>
            <w:pPr>
              <w:spacing w:after="0" w:line="252"/>
            </w:pPr>
            <w:r>
              <w:rPr>
                <w:rFonts w:ascii="Calibri" w:cs="Calibri" w:eastAsia="Calibri" w:hAnsi="Calibri"/>
                <w:sz w:val="19"/>
                <w:szCs w:val="19"/>
              </w:rPr>
              <w:t xml:space="preserve">Presentation to risk or audit</w:t>
            </w:r>
          </w:p>
        </w:tc>
      </w:tr>
      <w:tr>
        <w:tc>
          <w:tcPr>
            <w:tcW w:type="dxa" w:w="3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Device-management policy decision</w:t>
            </w:r>
          </w:p>
        </w:tc>
        <w:tc>
          <w:tcPr>
            <w:tcW w:type="dxa" w:w="3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Workstation engineering</w:t>
            </w:r>
          </w:p>
        </w:tc>
        <w:tc>
          <w:tcPr>
            <w:tcW w:type="dxa" w:w="21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Any claim that this is an enforced control</w:t>
            </w:r>
          </w:p>
        </w:tc>
      </w:tr>
    </w:tbl>
    <w:p>
      <w:pPr>
        <w:pStyle w:val="Heading1"/>
        <w:spacing w:after="140" w:before="280"/>
      </w:pPr>
      <w:r>
        <w:rPr>
          <w:rFonts w:ascii="Calibri" w:cs="Calibri" w:eastAsia="Calibri" w:hAnsi="Calibri"/>
          <w:b/>
          <w:bCs/>
          <w:color w:val="1F3864"/>
        </w:rPr>
        <w:t xml:space="preserve">9. Implementation Plan</w:t>
      </w:r>
    </w:p>
    <w:p>
      <w:pPr>
        <w:pStyle w:val="Heading2"/>
        <w:spacing w:after="140" w:before="280"/>
      </w:pPr>
      <w:r>
        <w:rPr>
          <w:rFonts w:ascii="Calibri" w:cs="Calibri" w:eastAsia="Calibri" w:hAnsi="Calibri"/>
          <w:b/>
          <w:bCs/>
          <w:color w:val="1F3864"/>
        </w:rPr>
        <w:t xml:space="preserve">9.1 Pilot implementation steps</w:t>
      </w:r>
    </w:p>
    <w:p>
      <w:pPr>
        <w:spacing w:after="120" w:line="276"/>
      </w:pPr>
      <w:r>
        <w:rPr>
          <w:rFonts w:ascii="Calibri" w:cs="Calibri" w:eastAsia="Calibri" w:hAnsi="Calibri"/>
          <w:sz w:val="21"/>
          <w:szCs w:val="21"/>
        </w:rPr>
        <w:t xml:space="preserve">Steps are sequential unless noted. Durations are working estimates for planning and should be confirmed by the named owner.</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500"/>
        <w:gridCol w:w="4900"/>
        <w:gridCol w:w="2360"/>
        <w:gridCol w:w="1600"/>
      </w:tblGrid>
      <w:tr>
        <w:trPr>
          <w:tblHeader/>
        </w:trPr>
        <w:tc>
          <w:tcPr>
            <w:tcW w:type="dxa" w:w="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w:t>
            </w:r>
          </w:p>
        </w:tc>
        <w:tc>
          <w:tcPr>
            <w:tcW w:type="dxa" w:w="49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Step</w:t>
            </w:r>
          </w:p>
        </w:tc>
        <w:tc>
          <w:tcPr>
            <w:tcW w:type="dxa" w:w="23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Owner</w:t>
            </w:r>
          </w:p>
        </w:tc>
        <w:tc>
          <w:tcPr>
            <w:tcW w:type="dxa" w:w="16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Estimate</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1</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Replace placeholder team identifiers in the code-ownership template with the correct team names</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Provision the distribution credential and record it as an organisation secret, together with the organisation name variable</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GitHub administration</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1 to 2 days, subject to approval</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3</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Confirm the four pilot repositories and notify their owners that a pull request will arrive</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4</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Record the pilot repositories in the target register</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5</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Run the validation routine locally and confirm all checks pass</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Minutes</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6</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Run distribution in preview mode and review the proposed change for each repository; no repository is written to</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7</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Execute distribution; a pull request is raised in each pilot repository</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Minutes</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8</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Review and merge the pull requests under the normal review process</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Repository owners</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 to 5 days</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9</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Confirm Node.js is present on participating developer workstations using the diagnostic command</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Repository owners</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10</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 interception is active by submitting a prompt and observing the governed result</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 with one developer per repository</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11</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Operate the shadow period with all policy rules non-blocking</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All</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4 weeks</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12</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Review the measurement report; assess classification accuracy and per-rule trigger counts</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 with security engineering</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 to 3 days</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13</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Activate the first policy rules individually where evidence supports it, and distribute the change</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 with security engineering</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14</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Publish measured results and formally retire the previous estimates</w:t>
            </w:r>
          </w:p>
        </w:tc>
        <w:tc>
          <w:tcPr>
            <w:tcW w:type="dxa" w:w="23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c>
          <w:tcPr>
            <w:tcW w:type="dxa" w:w="1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1 to 2 days</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15</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Seek approval to proceed to the first wave</w:t>
            </w:r>
          </w:p>
        </w:tc>
        <w:tc>
          <w:tcPr>
            <w:tcW w:type="dxa" w:w="2360"/>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w:t>
            </w:r>
          </w:p>
        </w:tc>
        <w:tc>
          <w:tcPr>
            <w:tcW w:type="dxa" w:w="1600"/>
            <w:tcMar>
              <w:top w:type="dxa" w:w="60"/>
              <w:left w:type="dxa" w:w="110"/>
              <w:bottom w:type="dxa" w:w="60"/>
              <w:right w:type="dxa" w:w="110"/>
            </w:tcMar>
          </w:tcPr>
          <w:p>
            <w:pPr>
              <w:spacing w:after="0" w:line="252"/>
            </w:pPr>
            <w:r>
              <w:rPr>
                <w:rFonts w:ascii="Calibri" w:cs="Calibri" w:eastAsia="Calibri" w:hAnsi="Calibri"/>
                <w:sz w:val="19"/>
                <w:szCs w:val="19"/>
              </w:rPr>
              <w:t xml:space="preserve">Per governance cycle</w:t>
            </w:r>
          </w:p>
        </w:tc>
      </w:tr>
    </w:tbl>
    <w:p>
      <w:pPr>
        <w:spacing w:after="160"/>
      </w:pPr>
    </w:p>
    <w:p>
      <w:pPr>
        <w:spacing w:after="120" w:line="276"/>
      </w:pPr>
      <w:r>
        <w:rPr>
          <w:rFonts w:ascii="Calibri" w:cs="Calibri" w:eastAsia="Calibri" w:hAnsi="Calibri"/>
          <w:sz w:val="21"/>
          <w:szCs w:val="21"/>
        </w:rPr>
        <w:t xml:space="preserve">Elapsed time from approval to the end of the shadow period is approximately seven weeks, of which four weeks is passive observation requiring no active effort.</w:t>
      </w:r>
    </w:p>
    <w:p>
      <w:pPr>
        <w:pStyle w:val="Heading2"/>
        <w:spacing w:after="140" w:before="280"/>
      </w:pPr>
      <w:r>
        <w:rPr>
          <w:rFonts w:ascii="Calibri" w:cs="Calibri" w:eastAsia="Calibri" w:hAnsi="Calibri"/>
          <w:b/>
          <w:bCs/>
          <w:color w:val="1F3864"/>
        </w:rPr>
        <w:t xml:space="preserve">9.2 Wave rollout</w:t>
      </w:r>
    </w:p>
    <w:p>
      <w:pPr>
        <w:spacing w:after="120" w:line="276"/>
      </w:pPr>
      <w:r>
        <w:rPr>
          <w:rFonts w:ascii="Calibri" w:cs="Calibri" w:eastAsia="Calibri" w:hAnsi="Calibri"/>
          <w:sz w:val="21"/>
          <w:szCs w:val="21"/>
        </w:rPr>
        <w:t xml:space="preserve">Each wave repeats steps 4 to 10 above for a larger set of repositories. Policy rules carry forward in whatever state the pilot established.</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1500"/>
        <w:gridCol w:w="2600"/>
        <w:gridCol w:w="5260"/>
      </w:tblGrid>
      <w:tr>
        <w:trPr>
          <w:tblHeader/>
        </w:trPr>
        <w:tc>
          <w:tcPr>
            <w:tcW w:type="dxa" w:w="1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Stage</w:t>
            </w:r>
          </w:p>
        </w:tc>
        <w:tc>
          <w:tcPr>
            <w:tcW w:type="dxa" w:w="26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Scope</w:t>
            </w:r>
          </w:p>
        </w:tc>
        <w:tc>
          <w:tcPr>
            <w:tcW w:type="dxa" w:w="52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Exit criteria</w:t>
            </w:r>
          </w:p>
        </w:tc>
      </w:tr>
      <w:tr>
        <w:tc>
          <w:tcPr>
            <w:tcW w:type="dxa" w:w="1500"/>
            <w:tcMar>
              <w:top w:type="dxa" w:w="60"/>
              <w:left w:type="dxa" w:w="110"/>
              <w:bottom w:type="dxa" w:w="60"/>
              <w:right w:type="dxa" w:w="110"/>
            </w:tcMar>
          </w:tcPr>
          <w:p>
            <w:pPr>
              <w:spacing w:after="0" w:line="252"/>
            </w:pPr>
            <w:r>
              <w:rPr>
                <w:rFonts w:ascii="Calibri" w:cs="Calibri" w:eastAsia="Calibri" w:hAnsi="Calibri"/>
                <w:sz w:val="19"/>
                <w:szCs w:val="19"/>
              </w:rPr>
              <w:t xml:space="preserve">Pilot</w:t>
            </w:r>
          </w:p>
        </w:tc>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Four repositories</w:t>
            </w:r>
          </w:p>
        </w:tc>
        <w:tc>
          <w:tcPr>
            <w:tcW w:type="dxa" w:w="5260"/>
            <w:tcMar>
              <w:top w:type="dxa" w:w="60"/>
              <w:left w:type="dxa" w:w="110"/>
              <w:bottom w:type="dxa" w:w="60"/>
              <w:right w:type="dxa" w:w="110"/>
            </w:tcMar>
          </w:tcPr>
          <w:p>
            <w:pPr>
              <w:spacing w:after="0" w:line="252"/>
            </w:pPr>
            <w:r>
              <w:rPr>
                <w:rFonts w:ascii="Calibri" w:cs="Calibri" w:eastAsia="Calibri" w:hAnsi="Calibri"/>
                <w:sz w:val="19"/>
                <w:szCs w:val="19"/>
              </w:rPr>
              <w:t xml:space="preserve">Policy rule trigger counts reviewed; classification accuracy acceptable; first rules activated</w:t>
            </w:r>
          </w:p>
        </w:tc>
      </w:tr>
      <w:tr>
        <w:tc>
          <w:tcPr>
            <w:tcW w:type="dxa" w:w="1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Wave 1</w:t>
            </w:r>
          </w:p>
        </w:tc>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20 to 25 repositories</w:t>
            </w:r>
          </w:p>
        </w:tc>
        <w:tc>
          <w:tcPr>
            <w:tcW w:type="dxa" w:w="52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 material disruption; measurement stable</w:t>
            </w:r>
          </w:p>
        </w:tc>
      </w:tr>
      <w:tr>
        <w:tc>
          <w:tcPr>
            <w:tcW w:type="dxa" w:w="1500"/>
            <w:tcMar>
              <w:top w:type="dxa" w:w="60"/>
              <w:left w:type="dxa" w:w="110"/>
              <w:bottom w:type="dxa" w:w="60"/>
              <w:right w:type="dxa" w:w="110"/>
            </w:tcMar>
          </w:tcPr>
          <w:p>
            <w:pPr>
              <w:spacing w:after="0" w:line="252"/>
            </w:pPr>
            <w:r>
              <w:rPr>
                <w:rFonts w:ascii="Calibri" w:cs="Calibri" w:eastAsia="Calibri" w:hAnsi="Calibri"/>
                <w:sz w:val="19"/>
                <w:szCs w:val="19"/>
              </w:rPr>
              <w:t xml:space="preserve">Wave 2</w:t>
            </w:r>
          </w:p>
        </w:tc>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50 to 75 repositories</w:t>
            </w:r>
          </w:p>
        </w:tc>
        <w:tc>
          <w:tcPr>
            <w:tcW w:type="dxa" w:w="5260"/>
            <w:tcMar>
              <w:top w:type="dxa" w:w="60"/>
              <w:left w:type="dxa" w:w="110"/>
              <w:bottom w:type="dxa" w:w="60"/>
              <w:right w:type="dxa" w:w="110"/>
            </w:tcMar>
          </w:tcPr>
          <w:p>
            <w:pPr>
              <w:spacing w:after="0" w:line="252"/>
            </w:pPr>
            <w:r>
              <w:rPr>
                <w:rFonts w:ascii="Calibri" w:cs="Calibri" w:eastAsia="Calibri" w:hAnsi="Calibri"/>
                <w:sz w:val="19"/>
                <w:szCs w:val="19"/>
              </w:rPr>
              <w:t xml:space="preserve">As above</w:t>
            </w:r>
          </w:p>
        </w:tc>
      </w:tr>
      <w:tr>
        <w:tc>
          <w:tcPr>
            <w:tcW w:type="dxa" w:w="1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Wave 3</w:t>
            </w:r>
          </w:p>
        </w:tc>
        <w:tc>
          <w:tcPr>
            <w:tcW w:type="dxa" w:w="26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Remaining active repositories</w:t>
            </w:r>
          </w:p>
        </w:tc>
        <w:tc>
          <w:tcPr>
            <w:tcW w:type="dxa" w:w="52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Full estate coverage within the supported environments</w:t>
            </w:r>
          </w:p>
        </w:tc>
      </w:tr>
      <w:tr>
        <w:tc>
          <w:tcPr>
            <w:tcW w:type="dxa" w:w="1500"/>
            <w:tcMar>
              <w:top w:type="dxa" w:w="60"/>
              <w:left w:type="dxa" w:w="110"/>
              <w:bottom w:type="dxa" w:w="60"/>
              <w:right w:type="dxa" w:w="110"/>
            </w:tcMar>
          </w:tcPr>
          <w:p>
            <w:pPr>
              <w:spacing w:after="0" w:line="252"/>
            </w:pPr>
            <w:r>
              <w:rPr>
                <w:rFonts w:ascii="Calibri" w:cs="Calibri" w:eastAsia="Calibri" w:hAnsi="Calibri"/>
                <w:sz w:val="19"/>
                <w:szCs w:val="19"/>
              </w:rPr>
              <w:t xml:space="preserve">Steady state</w:t>
            </w:r>
          </w:p>
        </w:tc>
        <w:tc>
          <w:tcPr>
            <w:tcW w:type="dxa" w:w="2600"/>
            <w:tcMar>
              <w:top w:type="dxa" w:w="60"/>
              <w:left w:type="dxa" w:w="110"/>
              <w:bottom w:type="dxa" w:w="60"/>
              <w:right w:type="dxa" w:w="110"/>
            </w:tcMar>
          </w:tcPr>
          <w:p>
            <w:pPr>
              <w:spacing w:after="0" w:line="252"/>
            </w:pPr>
            <w:r>
              <w:rPr>
                <w:rFonts w:ascii="Calibri" w:cs="Calibri" w:eastAsia="Calibri" w:hAnsi="Calibri"/>
                <w:sz w:val="19"/>
                <w:szCs w:val="19"/>
              </w:rPr>
              <w:t xml:space="preserve">All repositories</w:t>
            </w:r>
          </w:p>
        </w:tc>
        <w:tc>
          <w:tcPr>
            <w:tcW w:type="dxa" w:w="5260"/>
            <w:tcMar>
              <w:top w:type="dxa" w:w="60"/>
              <w:left w:type="dxa" w:w="110"/>
              <w:bottom w:type="dxa" w:w="60"/>
              <w:right w:type="dxa" w:w="110"/>
            </w:tcMar>
          </w:tcPr>
          <w:p>
            <w:pPr>
              <w:spacing w:after="0" w:line="252"/>
            </w:pPr>
            <w:r>
              <w:rPr>
                <w:rFonts w:ascii="Calibri" w:cs="Calibri" w:eastAsia="Calibri" w:hAnsi="Calibri"/>
                <w:sz w:val="19"/>
                <w:szCs w:val="19"/>
              </w:rPr>
              <w:t xml:space="preserve">Weekly audit and distribution cycle</w:t>
            </w:r>
          </w:p>
        </w:tc>
      </w:tr>
    </w:tbl>
    <w:p>
      <w:pPr>
        <w:pStyle w:val="Heading1"/>
        <w:spacing w:after="140" w:before="280"/>
      </w:pPr>
      <w:r>
        <w:rPr>
          <w:rFonts w:ascii="Calibri" w:cs="Calibri" w:eastAsia="Calibri" w:hAnsi="Calibri"/>
          <w:b/>
          <w:bCs/>
          <w:color w:val="1F3864"/>
        </w:rPr>
        <w:t xml:space="preserve">10. Resources Required</w:t>
      </w:r>
    </w:p>
    <w:p>
      <w:pPr>
        <w:spacing w:after="120" w:line="276"/>
      </w:pPr>
      <w:r>
        <w:rPr>
          <w:rFonts w:ascii="Calibri" w:cs="Calibri" w:eastAsia="Calibri" w:hAnsi="Calibri"/>
          <w:sz w:val="21"/>
          <w:szCs w:val="21"/>
        </w:rPr>
        <w:t xml:space="preserve">Effort figures are planning estimates covering the pilot only, and exclude the four-week passive observation period.</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400"/>
        <w:gridCol w:w="4900"/>
        <w:gridCol w:w="2060"/>
      </w:tblGrid>
      <w:tr>
        <w:trPr>
          <w:tblHeader/>
        </w:trPr>
        <w:tc>
          <w:tcPr>
            <w:tcW w:type="dxa" w:w="24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Role</w:t>
            </w:r>
          </w:p>
        </w:tc>
        <w:tc>
          <w:tcPr>
            <w:tcW w:type="dxa" w:w="49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Involvement</w:t>
            </w:r>
          </w:p>
        </w:tc>
        <w:tc>
          <w:tcPr>
            <w:tcW w:type="dxa" w:w="20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Estimated effort</w:t>
            </w:r>
          </w:p>
        </w:tc>
      </w:tr>
      <w:tr>
        <w:tc>
          <w:tcPr>
            <w:tcW w:type="dxa" w:w="240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Leads implementation, operates distribution, analyses measurement, tunes classification</w:t>
            </w:r>
          </w:p>
        </w:tc>
        <w:tc>
          <w:tcPr>
            <w:tcW w:type="dxa" w:w="2060"/>
            <w:tcMar>
              <w:top w:type="dxa" w:w="60"/>
              <w:left w:type="dxa" w:w="110"/>
              <w:bottom w:type="dxa" w:w="60"/>
              <w:right w:type="dxa" w:w="110"/>
            </w:tcMar>
          </w:tcPr>
          <w:p>
            <w:pPr>
              <w:spacing w:after="0" w:line="252"/>
            </w:pPr>
            <w:r>
              <w:rPr>
                <w:rFonts w:ascii="Calibri" w:cs="Calibri" w:eastAsia="Calibri" w:hAnsi="Calibri"/>
                <w:sz w:val="19"/>
                <w:szCs w:val="19"/>
              </w:rPr>
              <w:t xml:space="preserve">5 to 8 days across seven weeks</w:t>
            </w:r>
          </w:p>
        </w:tc>
      </w:tr>
      <w:tr>
        <w:tc>
          <w:tcPr>
            <w:tcW w:type="dxa" w:w="24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Security engineering</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Reviews policy rules, supplies the vulnerability ruleset export format, joins the activation decision</w:t>
            </w:r>
          </w:p>
        </w:tc>
        <w:tc>
          <w:tcPr>
            <w:tcW w:type="dxa" w:w="20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 to 3 days</w:t>
            </w:r>
          </w:p>
        </w:tc>
      </w:tr>
      <w:tr>
        <w:tc>
          <w:tcPr>
            <w:tcW w:type="dxa" w:w="2400"/>
            <w:tcMar>
              <w:top w:type="dxa" w:w="60"/>
              <w:left w:type="dxa" w:w="110"/>
              <w:bottom w:type="dxa" w:w="60"/>
              <w:right w:type="dxa" w:w="110"/>
            </w:tcMar>
          </w:tcPr>
          <w:p>
            <w:pPr>
              <w:spacing w:after="0" w:line="252"/>
            </w:pPr>
            <w:r>
              <w:rPr>
                <w:rFonts w:ascii="Calibri" w:cs="Calibri" w:eastAsia="Calibri" w:hAnsi="Calibri"/>
                <w:sz w:val="19"/>
                <w:szCs w:val="19"/>
              </w:rPr>
              <w:t xml:space="preserve">Repository owners (four)</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Review and merge one pull request; confirm workstation readiness</w:t>
            </w:r>
          </w:p>
        </w:tc>
        <w:tc>
          <w:tcPr>
            <w:tcW w:type="dxa" w:w="2060"/>
            <w:tcMar>
              <w:top w:type="dxa" w:w="60"/>
              <w:left w:type="dxa" w:w="110"/>
              <w:bottom w:type="dxa" w:w="60"/>
              <w:right w:type="dxa" w:w="110"/>
            </w:tcMar>
          </w:tcPr>
          <w:p>
            <w:pPr>
              <w:spacing w:after="0" w:line="252"/>
            </w:pPr>
            <w:r>
              <w:rPr>
                <w:rFonts w:ascii="Calibri" w:cs="Calibri" w:eastAsia="Calibri" w:hAnsi="Calibri"/>
                <w:sz w:val="19"/>
                <w:szCs w:val="19"/>
              </w:rPr>
              <w:t xml:space="preserve">Under half a day each</w:t>
            </w:r>
          </w:p>
        </w:tc>
      </w:tr>
      <w:tr>
        <w:tc>
          <w:tcPr>
            <w:tcW w:type="dxa" w:w="24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GitHub administration</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Provisions and scopes the distribution credential</w:t>
            </w:r>
          </w:p>
        </w:tc>
        <w:tc>
          <w:tcPr>
            <w:tcW w:type="dxa" w:w="20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Under 1 day</w:t>
            </w:r>
          </w:p>
        </w:tc>
      </w:tr>
      <w:tr>
        <w:tc>
          <w:tcPr>
            <w:tcW w:type="dxa" w:w="2400"/>
            <w:tcMar>
              <w:top w:type="dxa" w:w="60"/>
              <w:left w:type="dxa" w:w="110"/>
              <w:bottom w:type="dxa" w:w="60"/>
              <w:right w:type="dxa" w:w="110"/>
            </w:tcMar>
          </w:tcPr>
          <w:p>
            <w:pPr>
              <w:spacing w:after="0" w:line="252"/>
            </w:pPr>
            <w:r>
              <w:rPr>
                <w:rFonts w:ascii="Calibri" w:cs="Calibri" w:eastAsia="Calibri" w:hAnsi="Calibri"/>
                <w:sz w:val="19"/>
                <w:szCs w:val="19"/>
              </w:rPr>
              <w:t xml:space="preserve">Workstation engineering</w:t>
            </w:r>
          </w:p>
        </w:tc>
        <w:tc>
          <w:tcPr>
            <w:tcW w:type="dxa" w:w="4900"/>
            <w:tcMar>
              <w:top w:type="dxa" w:w="60"/>
              <w:left w:type="dxa" w:w="110"/>
              <w:bottom w:type="dxa" w:w="60"/>
              <w:right w:type="dxa" w:w="110"/>
            </w:tcMar>
          </w:tcPr>
          <w:p>
            <w:pPr>
              <w:spacing w:after="0" w:line="252"/>
            </w:pPr>
            <w:r>
              <w:rPr>
                <w:rFonts w:ascii="Calibri" w:cs="Calibri" w:eastAsia="Calibri" w:hAnsi="Calibri"/>
                <w:sz w:val="19"/>
                <w:szCs w:val="19"/>
              </w:rPr>
              <w:t xml:space="preserve">Assesses the device-management policy; may run in parallel and does not block pilot</w:t>
            </w:r>
          </w:p>
        </w:tc>
        <w:tc>
          <w:tcPr>
            <w:tcW w:type="dxa" w:w="2060"/>
            <w:tcMar>
              <w:top w:type="dxa" w:w="60"/>
              <w:left w:type="dxa" w:w="110"/>
              <w:bottom w:type="dxa" w:w="60"/>
              <w:right w:type="dxa" w:w="110"/>
            </w:tcMar>
          </w:tcPr>
          <w:p>
            <w:pPr>
              <w:spacing w:after="0" w:line="252"/>
            </w:pPr>
            <w:r>
              <w:rPr>
                <w:rFonts w:ascii="Calibri" w:cs="Calibri" w:eastAsia="Calibri" w:hAnsi="Calibri"/>
                <w:sz w:val="19"/>
                <w:szCs w:val="19"/>
              </w:rPr>
              <w:t xml:space="preserve">1 to 2 days</w:t>
            </w:r>
          </w:p>
        </w:tc>
      </w:tr>
      <w:tr>
        <w:tc>
          <w:tcPr>
            <w:tcW w:type="dxa" w:w="24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Developers</w:t>
            </w:r>
          </w:p>
        </w:tc>
        <w:tc>
          <w:tcPr>
            <w:tcW w:type="dxa" w:w="49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 additional effort; the change is transparent to normal work</w:t>
            </w:r>
          </w:p>
        </w:tc>
        <w:tc>
          <w:tcPr>
            <w:tcW w:type="dxa" w:w="20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None</w:t>
            </w:r>
          </w:p>
        </w:tc>
      </w:tr>
    </w:tbl>
    <w:p>
      <w:pPr>
        <w:spacing w:after="160"/>
      </w:pPr>
    </w:p>
    <w:p>
      <w:pPr>
        <w:spacing w:after="120" w:line="276"/>
      </w:pPr>
      <w:r>
        <w:rPr>
          <w:rFonts w:ascii="Calibri" w:cs="Calibri" w:eastAsia="Calibri" w:hAnsi="Calibri"/>
          <w:b/>
          <w:bCs/>
          <w:sz w:val="21"/>
          <w:szCs w:val="21"/>
        </w:rPr>
        <w:t xml:space="preserve">Financial cost is nil. </w:t>
      </w:r>
      <w:r>
        <w:rPr>
          <w:rFonts w:ascii="Calibri" w:cs="Calibri" w:eastAsia="Calibri" w:hAnsi="Calibri"/>
          <w:sz w:val="21"/>
          <w:szCs w:val="21"/>
        </w:rPr>
        <w:t xml:space="preserve">No new infrastructure, licences, subscriptions, vendors or data processing arrangements are introduced. The capability operates on the Copilot licences and the automation platform already in production. The only cost is the internal effort above.</w:t>
      </w:r>
    </w:p>
    <w:p>
      <w:pPr>
        <w:pStyle w:val="Heading1"/>
        <w:spacing w:after="140" w:before="280"/>
      </w:pPr>
      <w:r>
        <w:rPr>
          <w:rFonts w:ascii="Calibri" w:cs="Calibri" w:eastAsia="Calibri" w:hAnsi="Calibri"/>
          <w:b/>
          <w:bCs/>
          <w:color w:val="1F3864"/>
        </w:rPr>
        <w:t xml:space="preserve">11. Backout and Ongoing Support</w:t>
      </w:r>
    </w:p>
    <w:p>
      <w:pPr>
        <w:pStyle w:val="Heading2"/>
        <w:spacing w:after="140" w:before="280"/>
      </w:pPr>
      <w:r>
        <w:rPr>
          <w:rFonts w:ascii="Calibri" w:cs="Calibri" w:eastAsia="Calibri" w:hAnsi="Calibri"/>
          <w:b/>
          <w:bCs/>
          <w:color w:val="1F3864"/>
        </w:rPr>
        <w:t xml:space="preserve">11.1 Backout</w:t>
      </w:r>
    </w:p>
    <w:p>
      <w:pPr>
        <w:spacing w:after="120" w:line="276"/>
      </w:pPr>
      <w:r>
        <w:rPr>
          <w:rFonts w:ascii="Calibri" w:cs="Calibri" w:eastAsia="Calibri" w:hAnsi="Calibri"/>
          <w:sz w:val="21"/>
          <w:szCs w:val="21"/>
        </w:rPr>
        <w:t xml:space="preserve">Every stage is reversible, and reversal does not require this platform to be available.</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500"/>
        <w:gridCol w:w="3400"/>
        <w:gridCol w:w="3460"/>
      </w:tblGrid>
      <w:tr>
        <w:trPr>
          <w:tblHeader/>
        </w:trPr>
        <w:tc>
          <w:tcPr>
            <w:tcW w:type="dxa" w:w="2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Scenario</w:t>
            </w:r>
          </w:p>
        </w:tc>
        <w:tc>
          <w:tcPr>
            <w:tcW w:type="dxa" w:w="34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Backout action</w:t>
            </w:r>
          </w:p>
        </w:tc>
        <w:tc>
          <w:tcPr>
            <w:tcW w:type="dxa" w:w="34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Effect</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A single repository is adversely affected</w:t>
            </w:r>
          </w:p>
        </w:tc>
        <w:tc>
          <w:tcPr>
            <w:tcW w:type="dxa" w:w="3400"/>
            <w:tcMar>
              <w:top w:type="dxa" w:w="60"/>
              <w:left w:type="dxa" w:w="110"/>
              <w:bottom w:type="dxa" w:w="60"/>
              <w:right w:type="dxa" w:w="110"/>
            </w:tcMar>
          </w:tcPr>
          <w:p>
            <w:pPr>
              <w:spacing w:after="0" w:line="252"/>
            </w:pPr>
            <w:r>
              <w:rPr>
                <w:rFonts w:ascii="Calibri" w:cs="Calibri" w:eastAsia="Calibri" w:hAnsi="Calibri"/>
                <w:sz w:val="19"/>
                <w:szCs w:val="19"/>
              </w:rPr>
              <w:t xml:space="preserve">Revert the distribution pull request in that repository</w:t>
            </w:r>
          </w:p>
        </w:tc>
        <w:tc>
          <w:tcPr>
            <w:tcW w:type="dxa" w:w="3460"/>
            <w:tcMar>
              <w:top w:type="dxa" w:w="60"/>
              <w:left w:type="dxa" w:w="110"/>
              <w:bottom w:type="dxa" w:w="60"/>
              <w:right w:type="dxa" w:w="110"/>
            </w:tcMar>
          </w:tcPr>
          <w:p>
            <w:pPr>
              <w:spacing w:after="0" w:line="252"/>
            </w:pPr>
            <w:r>
              <w:rPr>
                <w:rFonts w:ascii="Calibri" w:cs="Calibri" w:eastAsia="Calibri" w:hAnsi="Calibri"/>
                <w:sz w:val="19"/>
                <w:szCs w:val="19"/>
              </w:rPr>
              <w:t xml:space="preserve">That repository returns to its prior state; others unaffected</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Interception causes difficulty estate-wide</w:t>
            </w:r>
          </w:p>
        </w:tc>
        <w:tc>
          <w:tcPr>
            <w:tcW w:type="dxa" w:w="34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Remove the interception registration in the next distribution</w:t>
            </w:r>
          </w:p>
        </w:tc>
        <w:tc>
          <w:tcPr>
            <w:tcW w:type="dxa" w:w="34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Prompt rewriting ceases; instruction and workflow files remain in force</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A newly activated policy rule proves too aggressive</w:t>
            </w:r>
          </w:p>
        </w:tc>
        <w:tc>
          <w:tcPr>
            <w:tcW w:type="dxa" w:w="3400"/>
            <w:tcMar>
              <w:top w:type="dxa" w:w="60"/>
              <w:left w:type="dxa" w:w="110"/>
              <w:bottom w:type="dxa" w:w="60"/>
              <w:right w:type="dxa" w:w="110"/>
            </w:tcMar>
          </w:tcPr>
          <w:p>
            <w:pPr>
              <w:spacing w:after="0" w:line="252"/>
            </w:pPr>
            <w:r>
              <w:rPr>
                <w:rFonts w:ascii="Calibri" w:cs="Calibri" w:eastAsia="Calibri" w:hAnsi="Calibri"/>
                <w:sz w:val="19"/>
                <w:szCs w:val="19"/>
              </w:rPr>
              <w:t xml:space="preserve">Return that rule to non-blocking and distribute</w:t>
            </w:r>
          </w:p>
        </w:tc>
        <w:tc>
          <w:tcPr>
            <w:tcW w:type="dxa" w:w="3460"/>
            <w:tcMar>
              <w:top w:type="dxa" w:w="60"/>
              <w:left w:type="dxa" w:w="110"/>
              <w:bottom w:type="dxa" w:w="60"/>
              <w:right w:type="dxa" w:w="110"/>
            </w:tcMar>
          </w:tcPr>
          <w:p>
            <w:pPr>
              <w:spacing w:after="0" w:line="252"/>
            </w:pPr>
            <w:r>
              <w:rPr>
                <w:rFonts w:ascii="Calibri" w:cs="Calibri" w:eastAsia="Calibri" w:hAnsi="Calibri"/>
                <w:sz w:val="19"/>
                <w:szCs w:val="19"/>
              </w:rPr>
              <w:t xml:space="preserve">That rule reverts to advisory; all other rules unaffected</w:t>
            </w:r>
          </w:p>
        </w:tc>
      </w:tr>
      <w:tr>
        <w:tc>
          <w:tcPr>
            <w:tcW w:type="dxa" w:w="2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The interception component fails or is unavailable</w:t>
            </w:r>
          </w:p>
        </w:tc>
        <w:tc>
          <w:tcPr>
            <w:tcW w:type="dxa" w:w="34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None required</w:t>
            </w:r>
          </w:p>
        </w:tc>
        <w:tc>
          <w:tcPr>
            <w:tcW w:type="dxa" w:w="34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Designed to allow the prompt to proceed; developers are not interrupted</w:t>
            </w:r>
          </w:p>
        </w:tc>
      </w:tr>
      <w:tr>
        <w:tc>
          <w:tcPr>
            <w:tcW w:type="dxa" w:w="2500"/>
            <w:tcMar>
              <w:top w:type="dxa" w:w="60"/>
              <w:left w:type="dxa" w:w="110"/>
              <w:bottom w:type="dxa" w:w="60"/>
              <w:right w:type="dxa" w:w="110"/>
            </w:tcMar>
          </w:tcPr>
          <w:p>
            <w:pPr>
              <w:spacing w:after="0" w:line="252"/>
            </w:pPr>
            <w:r>
              <w:rPr>
                <w:rFonts w:ascii="Calibri" w:cs="Calibri" w:eastAsia="Calibri" w:hAnsi="Calibri"/>
                <w:sz w:val="19"/>
                <w:szCs w:val="19"/>
              </w:rPr>
              <w:t xml:space="preserve">Full withdrawal is required</w:t>
            </w:r>
          </w:p>
        </w:tc>
        <w:tc>
          <w:tcPr>
            <w:tcW w:type="dxa" w:w="3400"/>
            <w:tcMar>
              <w:top w:type="dxa" w:w="60"/>
              <w:left w:type="dxa" w:w="110"/>
              <w:bottom w:type="dxa" w:w="60"/>
              <w:right w:type="dxa" w:w="110"/>
            </w:tcMar>
          </w:tcPr>
          <w:p>
            <w:pPr>
              <w:spacing w:after="0" w:line="252"/>
            </w:pPr>
            <w:r>
              <w:rPr>
                <w:rFonts w:ascii="Calibri" w:cs="Calibri" w:eastAsia="Calibri" w:hAnsi="Calibri"/>
                <w:sz w:val="19"/>
                <w:szCs w:val="19"/>
              </w:rPr>
              <w:t xml:space="preserve">Revert the distribution pull requests</w:t>
            </w:r>
          </w:p>
        </w:tc>
        <w:tc>
          <w:tcPr>
            <w:tcW w:type="dxa" w:w="3460"/>
            <w:tcMar>
              <w:top w:type="dxa" w:w="60"/>
              <w:left w:type="dxa" w:w="110"/>
              <w:bottom w:type="dxa" w:w="60"/>
              <w:right w:type="dxa" w:w="110"/>
            </w:tcMar>
          </w:tcPr>
          <w:p>
            <w:pPr>
              <w:spacing w:after="0" w:line="252"/>
            </w:pPr>
            <w:r>
              <w:rPr>
                <w:rFonts w:ascii="Calibri" w:cs="Calibri" w:eastAsia="Calibri" w:hAnsi="Calibri"/>
                <w:sz w:val="19"/>
                <w:szCs w:val="19"/>
              </w:rPr>
              <w:t xml:space="preserve">Estate returns to its pre-platform state</w:t>
            </w:r>
          </w:p>
        </w:tc>
      </w:tr>
    </w:tbl>
    <w:p>
      <w:pPr>
        <w:spacing w:after="160"/>
      </w:pPr>
    </w:p>
    <w:p>
      <w:pPr>
        <w:spacing w:after="120" w:line="276"/>
      </w:pPr>
      <w:r>
        <w:rPr>
          <w:rFonts w:ascii="Calibri" w:cs="Calibri" w:eastAsia="Calibri" w:hAnsi="Calibri"/>
          <w:sz w:val="21"/>
          <w:szCs w:val="21"/>
        </w:rPr>
        <w:t xml:space="preserve">Because every change reaches a repository as a reviewed pull request, the change history is auditable and each step can be reversed independently.</w:t>
      </w:r>
    </w:p>
    <w:p>
      <w:pPr>
        <w:pStyle w:val="Heading2"/>
        <w:spacing w:after="140" w:before="280"/>
      </w:pPr>
      <w:r>
        <w:rPr>
          <w:rFonts w:ascii="Calibri" w:cs="Calibri" w:eastAsia="Calibri" w:hAnsi="Calibri"/>
          <w:b/>
          <w:bCs/>
          <w:color w:val="1F3864"/>
        </w:rPr>
        <w:t xml:space="preserve">11.2 Support model</w:t>
      </w:r>
    </w:p>
    <w:p>
      <w:pPr>
        <w:pStyle w:val="ListParagraph"/>
        <w:numPr>
          <w:ilvl w:val="0"/>
          <w:numId w:val="2"/>
        </w:numPr>
        <w:spacing w:after="80" w:line="276"/>
      </w:pPr>
      <w:r>
        <w:rPr>
          <w:rFonts w:ascii="Calibri" w:cs="Calibri" w:eastAsia="Calibri" w:hAnsi="Calibri"/>
          <w:sz w:val="21"/>
          <w:szCs w:val="21"/>
        </w:rPr>
        <w:t xml:space="preserve">Platform architecture owns the central repository, the content, and the distribution automation</w:t>
      </w:r>
    </w:p>
    <w:p>
      <w:pPr>
        <w:pStyle w:val="ListParagraph"/>
        <w:numPr>
          <w:ilvl w:val="0"/>
          <w:numId w:val="2"/>
        </w:numPr>
        <w:spacing w:after="80" w:line="276"/>
      </w:pPr>
      <w:r>
        <w:rPr>
          <w:rFonts w:ascii="Calibri" w:cs="Calibri" w:eastAsia="Calibri" w:hAnsi="Calibri"/>
          <w:sz w:val="21"/>
          <w:szCs w:val="21"/>
        </w:rPr>
        <w:t xml:space="preserve">Security engineering owns the security instruction content and the policy rule set</w:t>
      </w:r>
    </w:p>
    <w:p>
      <w:pPr>
        <w:pStyle w:val="ListParagraph"/>
        <w:numPr>
          <w:ilvl w:val="0"/>
          <w:numId w:val="2"/>
        </w:numPr>
        <w:spacing w:after="80" w:line="276"/>
      </w:pPr>
      <w:r>
        <w:rPr>
          <w:rFonts w:ascii="Calibri" w:cs="Calibri" w:eastAsia="Calibri" w:hAnsi="Calibri"/>
          <w:sz w:val="21"/>
          <w:szCs w:val="21"/>
        </w:rPr>
        <w:t xml:space="preserve">Repository owners own their local override sections and their merge decisions</w:t>
      </w:r>
    </w:p>
    <w:p>
      <w:pPr>
        <w:pStyle w:val="ListParagraph"/>
        <w:numPr>
          <w:ilvl w:val="0"/>
          <w:numId w:val="2"/>
        </w:numPr>
        <w:spacing w:after="80" w:line="276"/>
      </w:pPr>
      <w:r>
        <w:rPr>
          <w:rFonts w:ascii="Calibri" w:cs="Calibri" w:eastAsia="Calibri" w:hAnsi="Calibri"/>
          <w:sz w:val="21"/>
          <w:szCs w:val="21"/>
        </w:rPr>
        <w:t xml:space="preserve">Content changes follow the code-ownership review requirements set out in Section 5.2</w:t>
      </w:r>
    </w:p>
    <w:p>
      <w:pPr>
        <w:pStyle w:val="ListParagraph"/>
        <w:numPr>
          <w:ilvl w:val="0"/>
          <w:numId w:val="2"/>
        </w:numPr>
        <w:spacing w:after="80" w:line="276"/>
      </w:pPr>
      <w:r>
        <w:rPr>
          <w:rFonts w:ascii="Calibri" w:cs="Calibri" w:eastAsia="Calibri" w:hAnsi="Calibri"/>
          <w:sz w:val="21"/>
          <w:szCs w:val="21"/>
        </w:rPr>
        <w:t xml:space="preserve">The weekly scheduled distribution acts as the drift-correction mechanism and requires no manual intervention</w:t>
      </w:r>
    </w:p>
    <w:p>
      <w:pPr>
        <w:pStyle w:val="ListParagraph"/>
        <w:numPr>
          <w:ilvl w:val="0"/>
          <w:numId w:val="2"/>
        </w:numPr>
        <w:spacing w:after="80" w:line="276"/>
      </w:pPr>
      <w:r>
        <w:rPr>
          <w:rFonts w:ascii="Calibri" w:cs="Calibri" w:eastAsia="Calibri" w:hAnsi="Calibri"/>
          <w:sz w:val="21"/>
          <w:szCs w:val="21"/>
        </w:rPr>
        <w:t xml:space="preserve">No out-of-hours or on-call commitment arises; the platform runs no service and its failure mode is to leave developers working as they did before</w:t>
      </w:r>
    </w:p>
    <w:p>
      <w:pPr>
        <w:pStyle w:val="Heading1"/>
        <w:spacing w:after="140" w:before="280"/>
      </w:pPr>
      <w:r>
        <w:rPr>
          <w:rFonts w:ascii="Calibri" w:cs="Calibri" w:eastAsia="Calibri" w:hAnsi="Calibri"/>
          <w:b/>
          <w:bCs/>
          <w:color w:val="1F3864"/>
        </w:rPr>
        <w:t xml:space="preserve">12. Defects Identified and Remediated</w:t>
      </w:r>
    </w:p>
    <w:p>
      <w:pPr>
        <w:spacing w:after="120" w:line="276"/>
      </w:pPr>
      <w:r>
        <w:rPr>
          <w:rFonts w:ascii="Calibri" w:cs="Calibri" w:eastAsia="Calibri" w:hAnsi="Calibri"/>
          <w:sz w:val="21"/>
          <w:szCs w:val="21"/>
        </w:rPr>
        <w:t xml:space="preserve">Two pre-existing defects in the distribution engine were identified during this phase and have been corrected. Both were live and both are material, as security policy content now travels through the same mechanism.</w:t>
      </w:r>
    </w:p>
    <w:p>
      <w:pPr>
        <w:spacing w:after="120" w:line="276"/>
      </w:pPr>
      <w:r>
        <w:rPr>
          <w:rFonts w:ascii="Calibri" w:cs="Calibri" w:eastAsia="Calibri" w:hAnsi="Calibri"/>
          <w:b/>
          <w:bCs/>
          <w:sz w:val="21"/>
          <w:szCs w:val="21"/>
        </w:rPr>
        <w:t xml:space="preserve">First-time onboarding was silently skipped. </w:t>
      </w:r>
      <w:r>
        <w:rPr>
          <w:rFonts w:ascii="Calibri" w:cs="Calibri" w:eastAsia="Calibri" w:hAnsi="Calibri"/>
          <w:sz w:val="21"/>
          <w:szCs w:val="21"/>
        </w:rPr>
        <w:t xml:space="preserve">The engine determined whether a repository required a pull request using a comparison that cannot detect newly created files. Any repository that did not already hold a governance file was therefore reported as requiring no change and passed over without notice. The principal onboarding path had consequently never functioned. The fault was reproduced under test, corrected, and verified.</w:t>
      </w:r>
    </w:p>
    <w:p>
      <w:pPr>
        <w:spacing w:after="120" w:line="276"/>
      </w:pPr>
      <w:r>
        <w:rPr>
          <w:rFonts w:ascii="Calibri" w:cs="Calibri" w:eastAsia="Calibri" w:hAnsi="Calibri"/>
          <w:b/>
          <w:bCs/>
          <w:sz w:val="21"/>
          <w:szCs w:val="21"/>
        </w:rPr>
        <w:t xml:space="preserve">Retired content was never withdrawn. </w:t>
      </w:r>
      <w:r>
        <w:rPr>
          <w:rFonts w:ascii="Calibri" w:cs="Calibri" w:eastAsia="Calibri" w:hAnsi="Calibri"/>
          <w:sz w:val="21"/>
          <w:szCs w:val="21"/>
        </w:rPr>
        <w:t xml:space="preserve">The engine only ever added or replaced files. A rule withdrawn centrally remained active in every repository indefinitely. The engine now records what it has supplied to each repository and withdraws precisely what it has retired, while leaving untouched any file a repository team added itself. Verified under test.</w:t>
      </w:r>
    </w:p>
    <w:p>
      <w:pPr>
        <w:pStyle w:val="Heading1"/>
        <w:spacing w:after="140" w:before="280"/>
      </w:pPr>
      <w:r>
        <w:rPr>
          <w:rFonts w:ascii="Calibri" w:cs="Calibri" w:eastAsia="Calibri" w:hAnsi="Calibri"/>
          <w:b/>
          <w:bCs/>
          <w:color w:val="1F3864"/>
        </w:rPr>
        <w:t xml:space="preserve">13. Approval Requested</w:t>
      </w:r>
    </w:p>
    <w:p>
      <w:pPr>
        <w:spacing w:after="120" w:line="276"/>
      </w:pPr>
      <w:r>
        <w:rPr>
          <w:rFonts w:ascii="Calibri" w:cs="Calibri" w:eastAsia="Calibri" w:hAnsi="Calibri"/>
          <w:sz w:val="21"/>
          <w:szCs w:val="21"/>
        </w:rPr>
        <w:t xml:space="preserve">Approval is sought for the following.</w:t>
      </w:r>
    </w:p>
    <w:p>
      <w:pPr>
        <w:spacing w:after="80"/>
      </w:pP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500"/>
        <w:gridCol w:w="6560"/>
        <w:gridCol w:w="2300"/>
      </w:tblGrid>
      <w:tr>
        <w:trPr>
          <w:tblHeader/>
        </w:trPr>
        <w:tc>
          <w:tcPr>
            <w:tcW w:type="dxa" w:w="5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w:t>
            </w:r>
          </w:p>
        </w:tc>
        <w:tc>
          <w:tcPr>
            <w:tcW w:type="dxa" w:w="65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Item</w:t>
            </w:r>
          </w:p>
        </w:tc>
        <w:tc>
          <w:tcPr>
            <w:tcW w:type="dxa" w:w="23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Required from</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1</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Proceed to pilot deployment across the four nominated repositories, with all policy rules non-blocking</w:t>
            </w:r>
          </w:p>
        </w:tc>
        <w:tc>
          <w:tcPr>
            <w:tcW w:type="dxa" w:w="2300"/>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2</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Determine coverage for Java teams working in IntelliJ: adopt Visual Studio Code for Copilot work, or formally accept instruction-only coverage as a recorded risk</w:t>
            </w:r>
          </w:p>
        </w:tc>
        <w:tc>
          <w:tcPr>
            <w:tcW w:type="dxa" w:w="2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 with risk function</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3</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Provide the export format for the enterprise vulnerability ruleset so policy rules are maintained in one place</w:t>
            </w:r>
          </w:p>
        </w:tc>
        <w:tc>
          <w:tcPr>
            <w:tcW w:type="dxa" w:w="2300"/>
            <w:tcMar>
              <w:top w:type="dxa" w:w="60"/>
              <w:left w:type="dxa" w:w="110"/>
              <w:bottom w:type="dxa" w:w="60"/>
              <w:right w:type="dxa" w:w="110"/>
            </w:tcMar>
          </w:tcPr>
          <w:p>
            <w:pPr>
              <w:spacing w:after="0" w:line="252"/>
            </w:pPr>
            <w:r>
              <w:rPr>
                <w:rFonts w:ascii="Calibri" w:cs="Calibri" w:eastAsia="Calibri" w:hAnsi="Calibri"/>
                <w:sz w:val="19"/>
                <w:szCs w:val="19"/>
              </w:rPr>
              <w:t xml:space="preserve">Security engineering</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4</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 whether a device-management policy preventing developers disabling the mechanism can be deployed</w:t>
            </w:r>
          </w:p>
        </w:tc>
        <w:tc>
          <w:tcPr>
            <w:tcW w:type="dxa" w:w="2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Workstation engineering</w:t>
            </w:r>
          </w:p>
        </w:tc>
      </w:tr>
      <w:tr>
        <w:tc>
          <w:tcPr>
            <w:tcW w:type="dxa" w:w="500"/>
            <w:tcMar>
              <w:top w:type="dxa" w:w="60"/>
              <w:left w:type="dxa" w:w="110"/>
              <w:bottom w:type="dxa" w:w="60"/>
              <w:right w:type="dxa" w:w="110"/>
            </w:tcMar>
          </w:tcPr>
          <w:p>
            <w:pPr>
              <w:spacing w:after="0" w:line="252"/>
            </w:pPr>
            <w:r>
              <w:rPr>
                <w:rFonts w:ascii="Calibri" w:cs="Calibri" w:eastAsia="Calibri" w:hAnsi="Calibri"/>
                <w:sz w:val="19"/>
                <w:szCs w:val="19"/>
              </w:rPr>
              <w:t xml:space="preserve">5</w:t>
            </w:r>
          </w:p>
        </w:tc>
        <w:tc>
          <w:tcPr>
            <w:tcW w:type="dxa" w:w="6560"/>
            <w:tcMar>
              <w:top w:type="dxa" w:w="60"/>
              <w:left w:type="dxa" w:w="110"/>
              <w:bottom w:type="dxa" w:w="60"/>
              <w:right w:type="dxa" w:w="110"/>
            </w:tcMar>
          </w:tcPr>
          <w:p>
            <w:pPr>
              <w:spacing w:after="0" w:line="252"/>
            </w:pPr>
            <w:r>
              <w:rPr>
                <w:rFonts w:ascii="Calibri" w:cs="Calibri" w:eastAsia="Calibri" w:hAnsi="Calibri"/>
                <w:sz w:val="19"/>
                <w:szCs w:val="19"/>
              </w:rPr>
              <w:t xml:space="preserve">Confirm the correct team identifiers for code ownership rules, replacing the current placeholders</w:t>
            </w:r>
          </w:p>
        </w:tc>
        <w:tc>
          <w:tcPr>
            <w:tcW w:type="dxa" w:w="2300"/>
            <w:tcMar>
              <w:top w:type="dxa" w:w="60"/>
              <w:left w:type="dxa" w:w="110"/>
              <w:bottom w:type="dxa" w:w="60"/>
              <w:right w:type="dxa" w:w="110"/>
            </w:tcMar>
          </w:tcPr>
          <w:p>
            <w:pPr>
              <w:spacing w:after="0" w:line="252"/>
            </w:pPr>
            <w:r>
              <w:rPr>
                <w:rFonts w:ascii="Calibri" w:cs="Calibri" w:eastAsia="Calibri" w:hAnsi="Calibri"/>
                <w:sz w:val="19"/>
                <w:szCs w:val="19"/>
              </w:rPr>
              <w:t xml:space="preserve">Platform architecture</w:t>
            </w:r>
          </w:p>
        </w:tc>
      </w:tr>
      <w:tr>
        <w:tc>
          <w:tcPr>
            <w:tcW w:type="dxa" w:w="5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6</w:t>
            </w:r>
          </w:p>
        </w:tc>
        <w:tc>
          <w:tcPr>
            <w:tcW w:type="dxa" w:w="6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Endorse withdrawal of the previously reported token-reduction figure pending measured pilot results</w:t>
            </w:r>
          </w:p>
        </w:tc>
        <w:tc>
          <w:tcPr>
            <w:tcW w:type="dxa" w:w="23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Engineering leadership</w:t>
            </w:r>
          </w:p>
        </w:tc>
      </w:tr>
    </w:tbl>
    <w:p>
      <w:pPr>
        <w:spacing w:after="160"/>
      </w:pPr>
    </w:p>
    <w:p>
      <w:pPr>
        <w:spacing w:after="120" w:line="276"/>
      </w:pPr>
      <w:r>
        <w:rPr>
          <w:rFonts w:ascii="Calibri" w:cs="Calibri" w:eastAsia="Calibri" w:hAnsi="Calibri"/>
          <w:sz w:val="21"/>
          <w:szCs w:val="21"/>
        </w:rPr>
        <w:t xml:space="preserve">Item 2 is the condition on which the coverage statement depends and should be settled before the platform is presented to risk or audit. Item 6 prevents an unmeasured figure being carried into a governance forum.</w:t>
      </w:r>
    </w:p>
    <w:p>
      <w:pPr>
        <w:spacing w:after="120" w:line="276"/>
      </w:pPr>
      <w:r>
        <w:rPr>
          <w:rFonts w:ascii="Calibri" w:cs="Calibri" w:eastAsia="Calibri" w:hAnsi="Calibri"/>
          <w:sz w:val="21"/>
          <w:szCs w:val="21"/>
        </w:rPr>
        <w:t xml:space="preserve">Items 1, 3 and 5 correspond to the organisational dependencies listed at Section 8.4. Of these, only the code-ownership identifiers, credential provisioning and repository confirmation are required before pilot can begin. The remainder may be resolved during the pilot period.</w:t>
      </w:r>
    </w:p>
    <w:p>
      <w:r>
        <w:br w:type="page"/>
      </w:r>
    </w:p>
    <w:p>
      <w:pPr>
        <w:pStyle w:val="Heading1"/>
        <w:spacing w:after="140" w:before="280"/>
      </w:pPr>
      <w:r>
        <w:rPr>
          <w:rFonts w:ascii="Calibri" w:cs="Calibri" w:eastAsia="Calibri" w:hAnsi="Calibri"/>
          <w:b/>
          <w:bCs/>
          <w:color w:val="1F3864"/>
        </w:rPr>
        <w:t xml:space="preserve">Appendix A - Repository Inventory</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400"/>
        <w:gridCol w:w="6960"/>
      </w:tblGrid>
      <w:tr>
        <w:trPr>
          <w:tblHeader/>
        </w:trPr>
        <w:tc>
          <w:tcPr>
            <w:tcW w:type="dxa" w:w="24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Location</w:t>
            </w:r>
          </w:p>
        </w:tc>
        <w:tc>
          <w:tcPr>
            <w:tcW w:type="dxa" w:w="69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Contents</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templates/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Base instruction template and code-ownership template</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instructions/</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Nine path-specific instruction packs</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prompts/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Fourteen approved prompt workflows</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prompt-core/</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Governance core, task routing map, policy rule set, interception component</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hooks/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Interception registration for the development environment</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scripts/</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Distribution engine, validation routine, developer CLI (shell and PowerShell), pre-commit hook</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docs/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Project plan, rollout plan, security and compliance plan, prompt governance plan, interception design, phase records, demonstration guide</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repos.json</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Register of target repositories</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.github/workflows/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Distribution automation</w:t>
            </w:r>
          </w:p>
        </w:tc>
      </w:tr>
    </w:tbl>
    <w:p>
      <w:pPr>
        <w:pStyle w:val="Heading1"/>
        <w:spacing w:after="140" w:before="280"/>
      </w:pPr>
      <w:r>
        <w:rPr>
          <w:rFonts w:ascii="Calibri" w:cs="Calibri" w:eastAsia="Calibri" w:hAnsi="Calibri"/>
          <w:b/>
          <w:bCs/>
          <w:color w:val="1F3864"/>
        </w:rPr>
        <w:t xml:space="preserve">Appendix B - Command Reference</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2400"/>
        <w:gridCol w:w="6960"/>
      </w:tblGrid>
      <w:tr>
        <w:trPr>
          <w:tblHeader/>
        </w:trPr>
        <w:tc>
          <w:tcPr>
            <w:tcW w:type="dxa" w:w="24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Command</w:t>
            </w:r>
          </w:p>
        </w:tc>
        <w:tc>
          <w:tcPr>
            <w:tcW w:type="dxa" w:w="69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Function</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doctor</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Report which required tools are present on the workstation</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validate</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Run all content and configuration checks</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audit</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Scan a codebase for debug output, credential markers and silent error handling</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prompt &lt;name&gt;</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Display an approved prompt workflow</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rewrite &lt;text&gt;</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Display the governed form of a given prompt</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report</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Summarise interception activity and policy rule triggers</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sync --dry-run</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Preview distribution without writing to any repository</w:t>
            </w:r>
          </w:p>
        </w:tc>
      </w:tr>
      <w:tr>
        <w:tc>
          <w:tcPr>
            <w:tcW w:type="dxa" w:w="2400"/>
            <w:shd w:fill="F2F5FB" w:color="auto" w:val="clear"/>
            <w:tcMar>
              <w:top w:type="dxa" w:w="60"/>
              <w:left w:type="dxa" w:w="110"/>
              <w:bottom w:type="dxa" w:w="60"/>
              <w:right w:type="dxa" w:w="110"/>
            </w:tcMar>
          </w:tcPr>
          <w:p>
            <w:pPr>
              <w:spacing w:after="0" w:line="252"/>
            </w:pPr>
            <w:r>
              <w:rPr>
                <w:rFonts w:ascii="Consolas" w:cs="Consolas" w:eastAsia="Consolas" w:hAnsi="Consolas"/>
                <w:sz w:val="19"/>
                <w:szCs w:val="19"/>
              </w:rPr>
              <w:t xml:space="preserve">sync --apply</w:t>
            </w:r>
          </w:p>
        </w:tc>
        <w:tc>
          <w:tcPr>
            <w:tcW w:type="dxa" w:w="69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Perform distribution through pull request automation</w:t>
            </w:r>
          </w:p>
        </w:tc>
      </w:tr>
      <w:tr>
        <w:tc>
          <w:tcPr>
            <w:tcW w:type="dxa" w:w="2400"/>
            <w:tcMar>
              <w:top w:type="dxa" w:w="60"/>
              <w:left w:type="dxa" w:w="110"/>
              <w:bottom w:type="dxa" w:w="60"/>
              <w:right w:type="dxa" w:w="110"/>
            </w:tcMar>
          </w:tcPr>
          <w:p>
            <w:pPr>
              <w:spacing w:after="0" w:line="252"/>
            </w:pPr>
            <w:r>
              <w:rPr>
                <w:rFonts w:ascii="Consolas" w:cs="Consolas" w:eastAsia="Consolas" w:hAnsi="Consolas"/>
                <w:sz w:val="19"/>
                <w:szCs w:val="19"/>
              </w:rPr>
              <w:t xml:space="preserve">install-hooks</w:t>
            </w:r>
          </w:p>
        </w:tc>
        <w:tc>
          <w:tcPr>
            <w:tcW w:type="dxa" w:w="6960"/>
            <w:tcMar>
              <w:top w:type="dxa" w:w="60"/>
              <w:left w:type="dxa" w:w="110"/>
              <w:bottom w:type="dxa" w:w="60"/>
              <w:right w:type="dxa" w:w="110"/>
            </w:tcMar>
          </w:tcPr>
          <w:p>
            <w:pPr>
              <w:spacing w:after="0" w:line="252"/>
            </w:pPr>
            <w:r>
              <w:rPr>
                <w:rFonts w:ascii="Calibri" w:cs="Calibri" w:eastAsia="Calibri" w:hAnsi="Calibri"/>
                <w:sz w:val="19"/>
                <w:szCs w:val="19"/>
              </w:rPr>
              <w:t xml:space="preserve">Install the local pre-commit validation hook</w:t>
            </w:r>
          </w:p>
        </w:tc>
      </w:tr>
    </w:tbl>
    <w:p>
      <w:pPr>
        <w:spacing w:after="160"/>
      </w:pPr>
    </w:p>
    <w:p>
      <w:pPr>
        <w:spacing w:after="120" w:line="276"/>
      </w:pPr>
      <w:r>
        <w:rPr>
          <w:rFonts w:ascii="Calibri" w:cs="Calibri" w:eastAsia="Calibri" w:hAnsi="Calibri"/>
          <w:sz w:val="21"/>
          <w:szCs w:val="21"/>
        </w:rPr>
        <w:t xml:space="preserve">The PowerShell edition supports all of the above except distribution and hook installation, which require a shell environment.</w:t>
      </w:r>
    </w:p>
    <w:p>
      <w:pPr>
        <w:pStyle w:val="Heading1"/>
        <w:spacing w:after="140" w:before="280"/>
      </w:pPr>
      <w:r>
        <w:rPr>
          <w:rFonts w:ascii="Calibri" w:cs="Calibri" w:eastAsia="Calibri" w:hAnsi="Calibri"/>
          <w:b/>
          <w:bCs/>
          <w:color w:val="1F3864"/>
        </w:rPr>
        <w:t xml:space="preserve">Appendix C - Verification Performed</w:t>
      </w:r>
    </w:p>
    <w:tbl>
      <w:tblPr>
        <w:tblW w:type="dxa" w:w="9360"/>
        <w:tblBorders>
          <w:top w:val="single" w:color="B4C6E7" w:sz="4"/>
          <w:left w:val="single" w:color="B4C6E7" w:sz="4"/>
          <w:bottom w:val="single" w:color="B4C6E7" w:sz="4"/>
          <w:right w:val="single" w:color="B4C6E7" w:sz="4"/>
          <w:insideH w:val="single" w:color="D0D7E5" w:sz="2"/>
          <w:insideV w:val="single" w:color="D0D7E5" w:sz="2"/>
        </w:tblBorders>
      </w:tblPr>
      <w:tblGrid>
        <w:gridCol w:w="4800"/>
        <w:gridCol w:w="4560"/>
      </w:tblGrid>
      <w:tr>
        <w:trPr>
          <w:tblHeader/>
        </w:trPr>
        <w:tc>
          <w:tcPr>
            <w:tcW w:type="dxa" w:w="480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Verification</w:t>
            </w:r>
          </w:p>
        </w:tc>
        <w:tc>
          <w:tcPr>
            <w:tcW w:type="dxa" w:w="4560"/>
            <w:shd w:fill="D9E2F3" w:color="auto" w:val="clear"/>
            <w:tcMar>
              <w:top w:type="dxa" w:w="60"/>
              <w:left w:type="dxa" w:w="110"/>
              <w:bottom w:type="dxa" w:w="60"/>
              <w:right w:type="dxa" w:w="110"/>
            </w:tcMar>
          </w:tcPr>
          <w:p>
            <w:pPr>
              <w:spacing w:after="0" w:line="252"/>
            </w:pPr>
            <w:r>
              <w:rPr>
                <w:rFonts w:ascii="Calibri" w:cs="Calibri" w:eastAsia="Calibri" w:hAnsi="Calibri"/>
                <w:b/>
                <w:bCs/>
                <w:color w:val="1F3864"/>
                <w:sz w:val="19"/>
                <w:szCs w:val="19"/>
              </w:rPr>
              <w:t xml:space="preserve">Result</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Full validation suite</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Passed</w:t>
            </w:r>
          </w:p>
        </w:tc>
      </w:tr>
      <w:tr>
        <w:tc>
          <w:tcPr>
            <w:tcW w:type="dxa" w:w="4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Interception configuration self-test</w:t>
            </w:r>
          </w:p>
        </w:tc>
        <w:tc>
          <w:tcPr>
            <w:tcW w:type="dxa" w:w="4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Passed; 14 task types, 7 policy rules, all non-blocking</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Task classification regression</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Passed; 15 of 15 cases, covering every task type and the unmatched fallback</w:t>
            </w:r>
          </w:p>
        </w:tc>
      </w:tr>
      <w:tr>
        <w:tc>
          <w:tcPr>
            <w:tcW w:type="dxa" w:w="4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Original wording preserved verbatim</w:t>
            </w:r>
          </w:p>
        </w:tc>
        <w:tc>
          <w:tcPr>
            <w:tcW w:type="dxa" w:w="4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Confirmed</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Resistance to a prompt attempting to restructure the governance</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Confirmed</w:t>
            </w:r>
          </w:p>
        </w:tc>
      </w:tr>
      <w:tr>
        <w:tc>
          <w:tcPr>
            <w:tcW w:type="dxa" w:w="4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Blocking path exercised under forced enforcement</w:t>
            </w:r>
          </w:p>
        </w:tc>
        <w:tc>
          <w:tcPr>
            <w:tcW w:type="dxa" w:w="4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Confirmed</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Behaviour on malformed or empty input</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Confirmed; prompt proceeds, no interruption</w:t>
            </w:r>
          </w:p>
        </w:tc>
      </w:tr>
      <w:tr>
        <w:tc>
          <w:tcPr>
            <w:tcW w:type="dxa" w:w="4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Measurement records contain no prompt text</w:t>
            </w:r>
          </w:p>
        </w:tc>
        <w:tc>
          <w:tcPr>
            <w:tcW w:type="dxa" w:w="4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Confirmed</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Onboarding defect reproduced and corrected</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Confirmed under test</w:t>
            </w:r>
          </w:p>
        </w:tc>
      </w:tr>
      <w:tr>
        <w:tc>
          <w:tcPr>
            <w:tcW w:type="dxa" w:w="480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Retirement of withdrawn content, local files preserved</w:t>
            </w:r>
          </w:p>
        </w:tc>
        <w:tc>
          <w:tcPr>
            <w:tcW w:type="dxa" w:w="4560"/>
            <w:shd w:fill="F2F5FB" w:color="auto" w:val="clear"/>
            <w:tcMar>
              <w:top w:type="dxa" w:w="60"/>
              <w:left w:type="dxa" w:w="110"/>
              <w:bottom w:type="dxa" w:w="60"/>
              <w:right w:type="dxa" w:w="110"/>
            </w:tcMar>
          </w:tcPr>
          <w:p>
            <w:pPr>
              <w:spacing w:after="0" w:line="252"/>
            </w:pPr>
            <w:r>
              <w:rPr>
                <w:rFonts w:ascii="Calibri" w:cs="Calibri" w:eastAsia="Calibri" w:hAnsi="Calibri"/>
                <w:sz w:val="19"/>
                <w:szCs w:val="19"/>
              </w:rPr>
              <w:t xml:space="preserve">Confirmed under test</w:t>
            </w:r>
          </w:p>
        </w:tc>
      </w:tr>
      <w:tr>
        <w:tc>
          <w:tcPr>
            <w:tcW w:type="dxa" w:w="4800"/>
            <w:tcMar>
              <w:top w:type="dxa" w:w="60"/>
              <w:left w:type="dxa" w:w="110"/>
              <w:bottom w:type="dxa" w:w="60"/>
              <w:right w:type="dxa" w:w="110"/>
            </w:tcMar>
          </w:tcPr>
          <w:p>
            <w:pPr>
              <w:spacing w:after="0" w:line="252"/>
            </w:pPr>
            <w:r>
              <w:rPr>
                <w:rFonts w:ascii="Calibri" w:cs="Calibri" w:eastAsia="Calibri" w:hAnsi="Calibri"/>
                <w:sz w:val="19"/>
                <w:szCs w:val="19"/>
              </w:rPr>
              <w:t xml:space="preserve">Windows PowerShell edition</w:t>
            </w:r>
          </w:p>
        </w:tc>
        <w:tc>
          <w:tcPr>
            <w:tcW w:type="dxa" w:w="4560"/>
            <w:tcMar>
              <w:top w:type="dxa" w:w="60"/>
              <w:left w:type="dxa" w:w="110"/>
              <w:bottom w:type="dxa" w:w="60"/>
              <w:right w:type="dxa" w:w="110"/>
            </w:tcMar>
          </w:tcPr>
          <w:p>
            <w:pPr>
              <w:spacing w:after="0" w:line="252"/>
            </w:pPr>
            <w:r>
              <w:rPr>
                <w:rFonts w:ascii="Calibri" w:cs="Calibri" w:eastAsia="Calibri" w:hAnsi="Calibri"/>
                <w:sz w:val="19"/>
                <w:szCs w:val="19"/>
              </w:rPr>
              <w:t xml:space="preserve">All commands exit successfully</w:t>
            </w:r>
          </w:p>
        </w:tc>
      </w:tr>
    </w:tbl>
    <w:p>
      <w:pPr>
        <w:spacing w:after="200"/>
      </w:pPr>
    </w:p>
    <w:p>
      <w:pPr>
        <w:spacing w:after="120" w:line="276"/>
        <w:jc w:val="center"/>
      </w:pPr>
      <w:r>
        <w:rPr>
          <w:rFonts w:ascii="Calibri" w:cs="Calibri" w:eastAsia="Calibri" w:hAnsi="Calibri"/>
          <w:i/>
          <w:iCs/>
          <w:color w:val="808080"/>
          <w:sz w:val="21"/>
          <w:szCs w:val="21"/>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Governance Platform - Functional Description and Request for Approval</dc:title>
  <dc:creator>Platform Architecture</dc:creator>
  <dc:description>Functional description and approval submission for the copilot-governance platform</dc:description>
  <cp:lastModifiedBy>Un-named</cp:lastModifiedBy>
  <cp:revision>1</cp:revision>
  <dcterms:created xsi:type="dcterms:W3CDTF">2026-07-29T03:06:14.056Z</dcterms:created>
  <dcterms:modified xsi:type="dcterms:W3CDTF">2026-07-29T03:06:14.057Z</dcterms:modified>
</cp:coreProperties>
</file>

<file path=docProps/custom.xml><?xml version="1.0" encoding="utf-8"?>
<Properties xmlns="http://schemas.openxmlformats.org/officeDocument/2006/custom-properties" xmlns:vt="http://schemas.openxmlformats.org/officeDocument/2006/docPropsVTypes"/>
</file>