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w:t>
      </w:r>
    </w:p>
    <w:p>
      <w:r>
        <w:t xml:space="preserve">                                                    Company Registration No. 10380067 (England and Wales)</w:t>
      </w:r>
    </w:p>
    <w:p>
      <w:r>
        <w:t xml:space="preserve">                               PINUP GIRL CLOTHING LIMITED</w:t>
      </w:r>
    </w:p>
    <w:p>
      <w:r>
        <w:t xml:space="preserve">                          UNAUDITED FINANCIAL STATEMENTS</w:t>
      </w:r>
    </w:p>
    <w:p>
      <w:r>
        <w:t xml:space="preserve">                    FOR THE YEAR ENDED 30 SEPTEMBER 2018</w:t>
      </w:r>
    </w:p>
    <w:p>
      <w:r>
        <w:br w:type="page"/>
      </w:r>
    </w:p>
    <w:p>
      <w:r>
        <w:t>PINUP GIRL CLOTHING LIMITED</w:t>
      </w:r>
    </w:p>
    <w:p>
      <w:r>
        <w:t>BALANCE SHEET</w:t>
      </w:r>
    </w:p>
    <w:p>
      <w:r>
        <w:t>AS AT 30 SEPTEMBER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r>
              <w:t>2018</w:t>
            </w:r>
          </w:p>
        </w:tc>
        <w:tc>
          <w:tcPr>
            <w:tcW w:type="dxa" w:w="1440"/>
          </w:tcPr>
          <w:p/>
        </w:tc>
        <w:tc>
          <w:tcPr>
            <w:tcW w:type="dxa" w:w="1440"/>
          </w:tcPr>
          <w:p>
            <w:r>
              <w:t>2017</w:t>
            </w:r>
          </w:p>
        </w:tc>
        <w:tc>
          <w:tcPr>
            <w:tcW w:type="dxa" w:w="1440"/>
          </w:tcPr>
          <w:p/>
        </w:tc>
      </w:tr>
      <w:tr>
        <w:tc>
          <w:tcPr>
            <w:tcW w:type="dxa" w:w="1440"/>
          </w:tcPr>
          <w:p/>
        </w:tc>
        <w:tc>
          <w:tcPr>
            <w:tcW w:type="dxa" w:w="1440"/>
          </w:tcPr>
          <w:p>
            <w:r>
              <w:t>Notes</w:t>
            </w:r>
          </w:p>
        </w:tc>
        <w:tc>
          <w:tcPr>
            <w:tcW w:type="dxa" w:w="1440"/>
          </w:tcPr>
          <w:p>
            <w:r>
              <w:t>£</w:t>
            </w:r>
          </w:p>
        </w:tc>
        <w:tc>
          <w:tcPr>
            <w:tcW w:type="dxa" w:w="1440"/>
          </w:tcPr>
          <w:p>
            <w:r>
              <w:t>£</w:t>
            </w:r>
          </w:p>
        </w:tc>
        <w:tc>
          <w:tcPr>
            <w:tcW w:type="dxa" w:w="1440"/>
          </w:tcPr>
          <w:p>
            <w:r>
              <w:t>£</w:t>
            </w:r>
          </w:p>
        </w:tc>
        <w:tc>
          <w:tcPr>
            <w:tcW w:type="dxa" w:w="1440"/>
          </w:tcPr>
          <w:p>
            <w:r>
              <w:t>£</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Debtors</w:t>
            </w:r>
          </w:p>
        </w:tc>
        <w:tc>
          <w:tcPr>
            <w:tcW w:type="dxa" w:w="1440"/>
          </w:tcPr>
          <w:p>
            <w:r>
              <w:t>2</w:t>
            </w:r>
          </w:p>
        </w:tc>
        <w:tc>
          <w:tcPr>
            <w:tcW w:type="dxa" w:w="1440"/>
          </w:tcPr>
          <w:p>
            <w:r>
              <w:t>1,012</w:t>
            </w:r>
          </w:p>
        </w:tc>
        <w:tc>
          <w:tcPr>
            <w:tcW w:type="dxa" w:w="1440"/>
          </w:tcPr>
          <w:p/>
        </w:tc>
        <w:tc>
          <w:tcPr>
            <w:tcW w:type="dxa" w:w="1440"/>
          </w:tcPr>
          <w:p>
            <w:r>
              <w:t>1,012</w:t>
            </w:r>
          </w:p>
        </w:tc>
        <w:tc>
          <w:tcPr>
            <w:tcW w:type="dxa" w:w="1440"/>
          </w:tcPr>
          <w:p/>
        </w:tc>
      </w:tr>
      <w:tr>
        <w:tc>
          <w:tcPr>
            <w:tcW w:type="dxa" w:w="1440"/>
          </w:tcPr>
          <w:p>
            <w:r>
              <w:t>Net current assets</w:t>
            </w:r>
          </w:p>
        </w:tc>
        <w:tc>
          <w:tcPr>
            <w:tcW w:type="dxa" w:w="1440"/>
          </w:tcPr>
          <w:p/>
        </w:tc>
        <w:tc>
          <w:tcPr>
            <w:tcW w:type="dxa" w:w="1440"/>
          </w:tcPr>
          <w:p/>
        </w:tc>
        <w:tc>
          <w:tcPr>
            <w:tcW w:type="dxa" w:w="1440"/>
          </w:tcPr>
          <w:p>
            <w:r>
              <w:t>1,012</w:t>
            </w:r>
          </w:p>
        </w:tc>
        <w:tc>
          <w:tcPr>
            <w:tcW w:type="dxa" w:w="1440"/>
          </w:tcPr>
          <w:p/>
        </w:tc>
        <w:tc>
          <w:tcPr>
            <w:tcW w:type="dxa" w:w="1440"/>
          </w:tcPr>
          <w:p>
            <w:r>
              <w:t>1,012</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Called up share capital</w:t>
            </w:r>
          </w:p>
        </w:tc>
        <w:tc>
          <w:tcPr>
            <w:tcW w:type="dxa" w:w="1440"/>
          </w:tcPr>
          <w:p>
            <w:r>
              <w:t>3</w:t>
            </w:r>
          </w:p>
        </w:tc>
        <w:tc>
          <w:tcPr>
            <w:tcW w:type="dxa" w:w="1440"/>
          </w:tcPr>
          <w:p/>
        </w:tc>
        <w:tc>
          <w:tcPr>
            <w:tcW w:type="dxa" w:w="1440"/>
          </w:tcPr>
          <w:p>
            <w:r>
              <w:t>1,012</w:t>
            </w:r>
          </w:p>
        </w:tc>
        <w:tc>
          <w:tcPr>
            <w:tcW w:type="dxa" w:w="1440"/>
          </w:tcPr>
          <w:p/>
        </w:tc>
        <w:tc>
          <w:tcPr>
            <w:tcW w:type="dxa" w:w="1440"/>
          </w:tcPr>
          <w:p>
            <w:r>
              <w:t>1,012</w:t>
            </w:r>
          </w:p>
        </w:tc>
      </w:tr>
    </w:tbl>
    <w:p/>
    <w:p>
      <w:r>
        <w:t>The directors of the company have elected not to include a copy of the profit and loss account within the financial statements.</w:t>
      </w:r>
    </w:p>
    <w:p>
      <w:r>
        <w:t>For the financial year ended 30 September 2018 the company was entitled to exemption from audit under section 480 of the Companies Act 2006 relating to dormant companies.</w:t>
      </w:r>
    </w:p>
    <w:p>
      <w:r>
        <w:t>The directors acknowledge their responsibilities for complying with the requirements of the Act with respect to accounting records and the preparation of financial statements.</w:t>
      </w:r>
    </w:p>
    <w:p>
      <w:r>
        <w:t>The members have not required the company to obtain an audit of its financial statements for the year in question in accordance with section 476.</w:t>
      </w:r>
    </w:p>
    <w:p>
      <w:r>
        <w:t>These financial statements have been delivered in accordance with the provisions applicable to companies subject to the small companies' regime.</w:t>
      </w:r>
    </w:p>
    <w:p>
      <w:r>
        <w:t>The financial statements were approved by the board of directors and authorised for issue on and are signed on its behalf by:</w:t>
      </w:r>
    </w:p>
    <w:p>
      <w:r>
        <w:t>Miss A Holmes Director</w:t>
      </w:r>
    </w:p>
    <w:p>
      <w:r>
        <w:t>Company Registration No. 10380067</w:t>
      </w:r>
    </w:p>
    <w:p>
      <w:r>
        <w:t xml:space="preserve">                                                        -1 -</w:t>
      </w:r>
    </w:p>
    <w:p>
      <w:r>
        <w:br w:type="page"/>
      </w:r>
    </w:p>
    <w:p>
      <w:r>
        <w:t>PINUP GIRL CLOTHING LIMITED</w:t>
      </w:r>
    </w:p>
    <w:p>
      <w:r>
        <w:t>NOTES TO THE FINANCIAL STATEMENTS</w:t>
      </w:r>
    </w:p>
    <w:p>
      <w:r>
        <w:t>FOR THE YEAR ENDED 30 SEPTEMBER 2018</w:t>
      </w:r>
    </w:p>
    <w:p>
      <w:r>
        <w:t>1 Accounting policies</w:t>
      </w:r>
    </w:p>
    <w:p>
      <w:r>
        <w:t xml:space="preserve">   Company information Pinup Girl Clothing Limited is a private company limited by shares incorporated in England and Wales. The registered office is 97 Fore Street, Topsham, Devon, EX3 OHQ.</w:t>
      </w:r>
    </w:p>
    <w:p>
      <w:r>
        <w:t>1.1 Accounting convention</w:t>
      </w:r>
    </w:p>
    <w:p>
      <w:r>
        <w:t xml:space="preserve">   These financial statements have been prepared in accordance with FRS 102 “The Financial Reporting Standard applicable in the UK and Republic of Ireland” (“FRS 102”) and the requirements of the Companies Act 2006.</w:t>
      </w:r>
    </w:p>
    <w:p>
      <w:r>
        <w:t xml:space="preserve">   The financial statements are prepared in sterling, which is the functional currency of the company. Monetary amounts in these financial statements are rounded to the nearest £.</w:t>
      </w:r>
    </w:p>
    <w:p>
      <w:r>
        <w:t>1.2 Profit and loss account</w:t>
      </w:r>
    </w:p>
    <w:p>
      <w:r>
        <w:t xml:space="preserve">   The company has not traded during the year or the preceding financial period. During this time the company received no income and incurred no expenditure and thereforeno Profit and lossaccount is presented in these financial statements.</w:t>
      </w:r>
    </w:p>
    <w:p>
      <w:r>
        <w:t>2 Debtors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r>
              <w:t>Amounts falling due within one year:</w:t>
            </w:r>
          </w:p>
        </w:tc>
        <w:tc>
          <w:tcPr>
            <w:tcW w:type="dxa" w:w="2160"/>
          </w:tcPr>
          <w:p>
            <w:r>
              <w:t>£</w:t>
            </w:r>
          </w:p>
        </w:tc>
        <w:tc>
          <w:tcPr>
            <w:tcW w:type="dxa" w:w="2160"/>
          </w:tcPr>
          <w:p>
            <w:r>
              <w:t>£</w:t>
            </w:r>
          </w:p>
        </w:tc>
      </w:tr>
      <w:tr>
        <w:tc>
          <w:tcPr>
            <w:tcW w:type="dxa" w:w="2160"/>
          </w:tcPr>
          <w:p/>
        </w:tc>
        <w:tc>
          <w:tcPr>
            <w:tcW w:type="dxa" w:w="2160"/>
          </w:tcPr>
          <w:p>
            <w:r>
              <w:t>Unpaid share capital</w:t>
            </w:r>
          </w:p>
        </w:tc>
        <w:tc>
          <w:tcPr>
            <w:tcW w:type="dxa" w:w="2160"/>
          </w:tcPr>
          <w:p>
            <w:r>
              <w:t>1,012</w:t>
            </w:r>
          </w:p>
        </w:tc>
        <w:tc>
          <w:tcPr>
            <w:tcW w:type="dxa" w:w="2160"/>
          </w:tcPr>
          <w:p>
            <w:r>
              <w:t>1,012</w:t>
            </w:r>
          </w:p>
        </w:tc>
      </w:tr>
      <w:tr>
        <w:tc>
          <w:tcPr>
            <w:tcW w:type="dxa" w:w="2160"/>
          </w:tcPr>
          <w:p>
            <w:r>
              <w:t>3</w:t>
            </w:r>
          </w:p>
        </w:tc>
        <w:tc>
          <w:tcPr>
            <w:tcW w:type="dxa" w:w="2160"/>
          </w:tcPr>
          <w:p>
            <w:r>
              <w:t>Share capital</w:t>
            </w:r>
          </w:p>
        </w:tc>
        <w:tc>
          <w:tcPr>
            <w:tcW w:type="dxa" w:w="2160"/>
          </w:tcPr>
          <w:p/>
        </w:tc>
        <w:tc>
          <w:tcPr>
            <w:tcW w:type="dxa" w:w="2160"/>
          </w:tcPr>
          <w:p/>
        </w:tc>
      </w:tr>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tc>
        <w:tc>
          <w:tcPr>
            <w:tcW w:type="dxa" w:w="2160"/>
          </w:tcPr>
          <w:p>
            <w:r>
              <w:t>£</w:t>
            </w:r>
          </w:p>
        </w:tc>
        <w:tc>
          <w:tcPr>
            <w:tcW w:type="dxa" w:w="2160"/>
          </w:tcPr>
          <w:p>
            <w:r>
              <w:t>£</w:t>
            </w:r>
          </w:p>
        </w:tc>
      </w:tr>
    </w:tbl>
    <w:p/>
    <w:p>
      <w:r>
        <w:t xml:space="preserve">   Ordinary share capital Issued and not fully paid</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1,000 Ordinary shares of £1 each</w:t>
            </w:r>
          </w:p>
        </w:tc>
        <w:tc>
          <w:tcPr>
            <w:tcW w:type="dxa" w:w="2160"/>
          </w:tcPr>
          <w:p>
            <w:r>
              <w:t>1,000</w:t>
            </w:r>
          </w:p>
        </w:tc>
        <w:tc>
          <w:tcPr>
            <w:tcW w:type="dxa" w:w="2160"/>
          </w:tcPr>
          <w:p>
            <w:r>
              <w:t>1,000</w:t>
            </w:r>
          </w:p>
        </w:tc>
      </w:tr>
      <w:tr>
        <w:tc>
          <w:tcPr>
            <w:tcW w:type="dxa" w:w="2160"/>
          </w:tcPr>
          <w:p/>
        </w:tc>
        <w:tc>
          <w:tcPr>
            <w:tcW w:type="dxa" w:w="2160"/>
          </w:tcPr>
          <w:p>
            <w:r>
              <w:t>6 Ordinary A shares of £1 each</w:t>
            </w:r>
          </w:p>
        </w:tc>
        <w:tc>
          <w:tcPr>
            <w:tcW w:type="dxa" w:w="2160"/>
          </w:tcPr>
          <w:p>
            <w:r>
              <w:t>6</w:t>
            </w:r>
          </w:p>
        </w:tc>
        <w:tc>
          <w:tcPr>
            <w:tcW w:type="dxa" w:w="2160"/>
          </w:tcPr>
          <w:p>
            <w:r>
              <w:t>6</w:t>
            </w:r>
          </w:p>
        </w:tc>
      </w:tr>
      <w:tr>
        <w:tc>
          <w:tcPr>
            <w:tcW w:type="dxa" w:w="2160"/>
          </w:tcPr>
          <w:p/>
        </w:tc>
        <w:tc>
          <w:tcPr>
            <w:tcW w:type="dxa" w:w="2160"/>
          </w:tcPr>
          <w:p>
            <w:r>
              <w:t>3 Ordinary B shares of £1 each</w:t>
            </w:r>
          </w:p>
        </w:tc>
        <w:tc>
          <w:tcPr>
            <w:tcW w:type="dxa" w:w="2160"/>
          </w:tcPr>
          <w:p>
            <w:r>
              <w:t>3</w:t>
            </w:r>
          </w:p>
        </w:tc>
        <w:tc>
          <w:tcPr>
            <w:tcW w:type="dxa" w:w="2160"/>
          </w:tcPr>
          <w:p>
            <w:r>
              <w:t>3</w:t>
            </w:r>
          </w:p>
        </w:tc>
      </w:tr>
      <w:tr>
        <w:tc>
          <w:tcPr>
            <w:tcW w:type="dxa" w:w="2160"/>
          </w:tcPr>
          <w:p/>
        </w:tc>
        <w:tc>
          <w:tcPr>
            <w:tcW w:type="dxa" w:w="2160"/>
          </w:tcPr>
          <w:p>
            <w:r>
              <w:t>3 Ordinary C shares of £1 each</w:t>
            </w:r>
          </w:p>
        </w:tc>
        <w:tc>
          <w:tcPr>
            <w:tcW w:type="dxa" w:w="2160"/>
          </w:tcPr>
          <w:p>
            <w:r>
              <w:t>3</w:t>
            </w:r>
          </w:p>
        </w:tc>
        <w:tc>
          <w:tcPr>
            <w:tcW w:type="dxa" w:w="2160"/>
          </w:tcPr>
          <w:p>
            <w:r>
              <w:t>3</w:t>
            </w:r>
          </w:p>
        </w:tc>
      </w:tr>
      <w:tr>
        <w:tc>
          <w:tcPr>
            <w:tcW w:type="dxa" w:w="2160"/>
          </w:tcPr>
          <w:p/>
        </w:tc>
        <w:tc>
          <w:tcPr>
            <w:tcW w:type="dxa" w:w="2160"/>
          </w:tcPr>
          <w:p/>
        </w:tc>
        <w:tc>
          <w:tcPr>
            <w:tcW w:type="dxa" w:w="2160"/>
          </w:tcPr>
          <w:p>
            <w:r>
              <w:t>1,012</w:t>
            </w:r>
          </w:p>
        </w:tc>
        <w:tc>
          <w:tcPr>
            <w:tcW w:type="dxa" w:w="2160"/>
          </w:tcPr>
          <w:p>
            <w:r>
              <w:t>1,012</w:t>
            </w:r>
          </w:p>
        </w:tc>
      </w:tr>
    </w:tbl>
    <w:p/>
    <w:p>
      <w:r>
        <w:t xml:space="preserv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