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Rayner Property Services (Eastbourne) Limited</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Registered number:</w:t>
            </w:r>
          </w:p>
        </w:tc>
        <w:tc>
          <w:tcPr>
            <w:tcW w:type="dxa" w:w="1440"/>
          </w:tcPr>
          <w:p/>
        </w:tc>
        <w:tc>
          <w:tcPr>
            <w:tcW w:type="dxa" w:w="1440"/>
          </w:tcPr>
          <w:p>
            <w:r>
              <w:t>01485006</w:t>
            </w:r>
          </w:p>
        </w:tc>
        <w:tc>
          <w:tcPr>
            <w:tcW w:type="dxa" w:w="1440"/>
          </w:tcPr>
          <w:p/>
        </w:tc>
        <w:tc>
          <w:tcPr>
            <w:tcW w:type="dxa" w:w="1440"/>
          </w:tcPr>
          <w:p/>
        </w:tc>
        <w:tc>
          <w:tcPr>
            <w:tcW w:type="dxa" w:w="1440"/>
          </w:tcPr>
          <w:p/>
        </w:tc>
      </w:tr>
    </w:tbl>
    <w:p/>
    <w:p>
      <w:r>
        <w:t xml:space="preserve">  Balance Sheet as at 31 December 2017</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r>
              <w:t>Notes</w:t>
            </w:r>
          </w:p>
        </w:tc>
        <w:tc>
          <w:tcPr>
            <w:tcW w:type="dxa" w:w="1440"/>
          </w:tcPr>
          <w:p/>
        </w:tc>
        <w:tc>
          <w:tcPr>
            <w:tcW w:type="dxa" w:w="1440"/>
          </w:tcPr>
          <w:p>
            <w:r>
              <w:t>2017</w:t>
            </w:r>
          </w:p>
        </w:tc>
        <w:tc>
          <w:tcPr>
            <w:tcW w:type="dxa" w:w="1440"/>
          </w:tcPr>
          <w:p/>
        </w:tc>
        <w:tc>
          <w:tcPr>
            <w:tcW w:type="dxa" w:w="1440"/>
          </w:tcPr>
          <w:p>
            <w:r>
              <w:t>2016</w:t>
            </w:r>
          </w:p>
        </w:tc>
      </w:tr>
      <w:tr>
        <w:tc>
          <w:tcPr>
            <w:tcW w:type="dxa" w:w="1440"/>
          </w:tcPr>
          <w:p/>
        </w:tc>
        <w:tc>
          <w:tcPr>
            <w:tcW w:type="dxa" w:w="1440"/>
          </w:tcPr>
          <w:p/>
        </w:tc>
        <w:tc>
          <w:tcPr>
            <w:tcW w:type="dxa" w:w="1440"/>
          </w:tcPr>
          <w:p/>
        </w:tc>
        <w:tc>
          <w:tcPr>
            <w:tcW w:type="dxa" w:w="1440"/>
          </w:tcPr>
          <w:p>
            <w:r>
              <w:t>£</w:t>
            </w:r>
          </w:p>
        </w:tc>
        <w:tc>
          <w:tcPr>
            <w:tcW w:type="dxa" w:w="1440"/>
          </w:tcPr>
          <w:p/>
        </w:tc>
        <w:tc>
          <w:tcPr>
            <w:tcW w:type="dxa" w:w="1440"/>
          </w:tcPr>
          <w:p>
            <w:r>
              <w:t>£</w:t>
            </w:r>
          </w:p>
        </w:tc>
      </w:tr>
      <w:tr>
        <w:tc>
          <w:tcPr>
            <w:tcW w:type="dxa" w:w="1440"/>
          </w:tcPr>
          <w:p>
            <w:r>
              <w:t>Fixed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Tangible assets</w:t>
            </w:r>
          </w:p>
        </w:tc>
        <w:tc>
          <w:tcPr>
            <w:tcW w:type="dxa" w:w="1440"/>
          </w:tcPr>
          <w:p>
            <w:r>
              <w:t>2</w:t>
            </w:r>
          </w:p>
        </w:tc>
        <w:tc>
          <w:tcPr>
            <w:tcW w:type="dxa" w:w="1440"/>
          </w:tcPr>
          <w:p/>
        </w:tc>
        <w:tc>
          <w:tcPr>
            <w:tcW w:type="dxa" w:w="1440"/>
          </w:tcPr>
          <w:p>
            <w:r>
              <w:t>179</w:t>
            </w:r>
          </w:p>
        </w:tc>
        <w:tc>
          <w:tcPr>
            <w:tcW w:type="dxa" w:w="1440"/>
          </w:tcPr>
          <w:p/>
        </w:tc>
        <w:tc>
          <w:tcPr>
            <w:tcW w:type="dxa" w:w="1440"/>
          </w:tcPr>
          <w:p>
            <w:r>
              <w:t>179</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Cash at bank and in hand</w:t>
            </w:r>
          </w:p>
        </w:tc>
        <w:tc>
          <w:tcPr>
            <w:tcW w:type="dxa" w:w="1440"/>
          </w:tcPr>
          <w:p/>
        </w:tc>
        <w:tc>
          <w:tcPr>
            <w:tcW w:type="dxa" w:w="1440"/>
          </w:tcPr>
          <w:p>
            <w:r>
              <w:t>187</w:t>
            </w:r>
          </w:p>
        </w:tc>
        <w:tc>
          <w:tcPr>
            <w:tcW w:type="dxa" w:w="1440"/>
          </w:tcPr>
          <w:p/>
        </w:tc>
        <w:tc>
          <w:tcPr>
            <w:tcW w:type="dxa" w:w="1440"/>
          </w:tcPr>
          <w:p>
            <w:r>
              <w:t>73</w:t>
            </w:r>
          </w:p>
        </w:tc>
        <w:tc>
          <w:tcPr>
            <w:tcW w:type="dxa" w:w="1440"/>
          </w:tcPr>
          <w:p/>
        </w:tc>
      </w:tr>
      <w:tr>
        <w:tc>
          <w:tcPr>
            <w:tcW w:type="dxa" w:w="1440"/>
          </w:tcPr>
          <w:p>
            <w:r>
              <w:t>Creditors: amounts falling due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within one year</w:t>
            </w:r>
          </w:p>
        </w:tc>
        <w:tc>
          <w:tcPr>
            <w:tcW w:type="dxa" w:w="1440"/>
          </w:tcPr>
          <w:p>
            <w:r>
              <w:t>3</w:t>
            </w:r>
          </w:p>
        </w:tc>
        <w:tc>
          <w:tcPr>
            <w:tcW w:type="dxa" w:w="1440"/>
          </w:tcPr>
          <w:p>
            <w:r>
              <w:t>(1,092)</w:t>
            </w:r>
          </w:p>
        </w:tc>
        <w:tc>
          <w:tcPr>
            <w:tcW w:type="dxa" w:w="1440"/>
          </w:tcPr>
          <w:p/>
        </w:tc>
        <w:tc>
          <w:tcPr>
            <w:tcW w:type="dxa" w:w="1440"/>
          </w:tcPr>
          <w:p>
            <w:r>
              <w:t>(962)</w:t>
            </w:r>
          </w:p>
        </w:tc>
        <w:tc>
          <w:tcPr>
            <w:tcW w:type="dxa" w:w="1440"/>
          </w:tcPr>
          <w:p/>
        </w:tc>
      </w:tr>
      <w:tr>
        <w:tc>
          <w:tcPr>
            <w:tcW w:type="dxa" w:w="1440"/>
          </w:tcPr>
          <w:p>
            <w:r>
              <w:t>Net current liabilities</w:t>
            </w:r>
          </w:p>
        </w:tc>
        <w:tc>
          <w:tcPr>
            <w:tcW w:type="dxa" w:w="1440"/>
          </w:tcPr>
          <w:p/>
        </w:tc>
        <w:tc>
          <w:tcPr>
            <w:tcW w:type="dxa" w:w="1440"/>
          </w:tcPr>
          <w:p/>
        </w:tc>
        <w:tc>
          <w:tcPr>
            <w:tcW w:type="dxa" w:w="1440"/>
          </w:tcPr>
          <w:p>
            <w:r>
              <w:t>(905)</w:t>
            </w:r>
          </w:p>
        </w:tc>
        <w:tc>
          <w:tcPr>
            <w:tcW w:type="dxa" w:w="1440"/>
          </w:tcPr>
          <w:p/>
        </w:tc>
        <w:tc>
          <w:tcPr>
            <w:tcW w:type="dxa" w:w="1440"/>
          </w:tcPr>
          <w:p>
            <w:r>
              <w:t>(889)</w:t>
            </w:r>
          </w:p>
        </w:tc>
      </w:tr>
      <w:tr>
        <w:tc>
          <w:tcPr>
            <w:tcW w:type="dxa" w:w="1440"/>
          </w:tcPr>
          <w:p>
            <w:r>
              <w:t>Net liabilities</w:t>
            </w:r>
          </w:p>
        </w:tc>
        <w:tc>
          <w:tcPr>
            <w:tcW w:type="dxa" w:w="1440"/>
          </w:tcPr>
          <w:p/>
        </w:tc>
        <w:tc>
          <w:tcPr>
            <w:tcW w:type="dxa" w:w="1440"/>
          </w:tcPr>
          <w:p/>
        </w:tc>
        <w:tc>
          <w:tcPr>
            <w:tcW w:type="dxa" w:w="1440"/>
          </w:tcPr>
          <w:p>
            <w:r>
              <w:t>(726).</w:t>
            </w:r>
          </w:p>
        </w:tc>
        <w:tc>
          <w:tcPr>
            <w:tcW w:type="dxa" w:w="1440"/>
          </w:tcPr>
          <w:p/>
        </w:tc>
        <w:tc>
          <w:tcPr>
            <w:tcW w:type="dxa" w:w="1440"/>
          </w:tcPr>
          <w:p>
            <w:r>
              <w:t>(710)</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tc>
        <w:tc>
          <w:tcPr>
            <w:tcW w:type="dxa" w:w="1440"/>
          </w:tcPr>
          <w:p/>
        </w:tc>
        <w:tc>
          <w:tcPr>
            <w:tcW w:type="dxa" w:w="1440"/>
          </w:tcPr>
          <w:p>
            <w:r>
              <w:t>2</w:t>
            </w:r>
          </w:p>
        </w:tc>
        <w:tc>
          <w:tcPr>
            <w:tcW w:type="dxa" w:w="1440"/>
          </w:tcPr>
          <w:p/>
        </w:tc>
        <w:tc>
          <w:tcPr>
            <w:tcW w:type="dxa" w:w="1440"/>
          </w:tcPr>
          <w:p>
            <w:r>
              <w:t>2</w:t>
            </w:r>
          </w:p>
        </w:tc>
      </w:tr>
      <w:tr>
        <w:tc>
          <w:tcPr>
            <w:tcW w:type="dxa" w:w="1440"/>
          </w:tcPr>
          <w:p>
            <w:r>
              <w:t>Profit and loss account</w:t>
            </w:r>
          </w:p>
        </w:tc>
        <w:tc>
          <w:tcPr>
            <w:tcW w:type="dxa" w:w="1440"/>
          </w:tcPr>
          <w:p/>
        </w:tc>
        <w:tc>
          <w:tcPr>
            <w:tcW w:type="dxa" w:w="1440"/>
          </w:tcPr>
          <w:p/>
        </w:tc>
        <w:tc>
          <w:tcPr>
            <w:tcW w:type="dxa" w:w="1440"/>
          </w:tcPr>
          <w:p>
            <w:r>
              <w:t>(728)</w:t>
            </w:r>
          </w:p>
        </w:tc>
        <w:tc>
          <w:tcPr>
            <w:tcW w:type="dxa" w:w="1440"/>
          </w:tcPr>
          <w:p/>
        </w:tc>
        <w:tc>
          <w:tcPr>
            <w:tcW w:type="dxa" w:w="1440"/>
          </w:tcPr>
          <w:p>
            <w:r>
              <w:t>(712)</w:t>
            </w:r>
          </w:p>
        </w:tc>
      </w:tr>
      <w:tr>
        <w:tc>
          <w:tcPr>
            <w:tcW w:type="dxa" w:w="1440"/>
          </w:tcPr>
          <w:p>
            <w:r>
              <w:t>Shareholders' funds</w:t>
            </w:r>
          </w:p>
        </w:tc>
        <w:tc>
          <w:tcPr>
            <w:tcW w:type="dxa" w:w="1440"/>
          </w:tcPr>
          <w:p/>
        </w:tc>
        <w:tc>
          <w:tcPr>
            <w:tcW w:type="dxa" w:w="1440"/>
          </w:tcPr>
          <w:p/>
        </w:tc>
        <w:tc>
          <w:tcPr>
            <w:tcW w:type="dxa" w:w="1440"/>
          </w:tcPr>
          <w:p>
            <w:r>
              <w:t>(726).</w:t>
            </w:r>
          </w:p>
        </w:tc>
        <w:tc>
          <w:tcPr>
            <w:tcW w:type="dxa" w:w="1440"/>
          </w:tcPr>
          <w:p/>
        </w:tc>
        <w:tc>
          <w:tcPr>
            <w:tcW w:type="dxa" w:w="1440"/>
          </w:tcPr>
          <w:p>
            <w:r>
              <w:t>(710)</w:t>
            </w:r>
          </w:p>
        </w:tc>
      </w:tr>
    </w:tbl>
    <w:p/>
    <w:p>
      <w:r>
        <w:t xml:space="preserve">  The directors are satisfied that the company is entitled to exemption from the requirement to obtain an audit under section 477 of the Companies Act 2006.</w:t>
      </w:r>
    </w:p>
    <w:p>
      <w:r>
        <w:t xml:space="preserve">  The members have not required the company to obtain an audit in accordance with section 476 of the Act.</w:t>
      </w:r>
    </w:p>
    <w:p>
      <w:r>
        <w:t xml:space="preserve">  The directors acknowledge their responsibilities for complying with the requirements of the Companies Act 2006 with respect to accounting records and the preparation of accounts.</w:t>
      </w:r>
    </w:p>
    <w:p>
      <w:r>
        <w:t xml:space="preserve">  The accounts have been prepared and delivered in accordance with the special provisions applicable to companies subject to the small companies regime. The profit and loss account has not been delivered to the Registrar of Companies.</w:t>
      </w:r>
    </w:p>
    <w:p>
      <w:r>
        <w:t xml:space="preserve">  E A J Rayner Director Approved by the board on 1 September 2018</w:t>
      </w:r>
    </w:p>
    <w:p>
      <w:r>
        <w:br w:type="page"/>
      </w:r>
    </w:p>
    <w:p>
      <w:r>
        <w:t>Rayner Property Services (Eastbourne) Limited Notes to the Accounts for the year ended 31 December 2017</w:t>
      </w:r>
    </w:p>
    <w:p>
      <w:r>
        <w:t>1 Accounting policies</w:t>
      </w:r>
    </w:p>
    <w:p>
      <w:r>
        <w:t xml:space="preserve">   Basis of preparation The accounts have been prepared under the historical cost convention and in accordance with FRS 102, The Financial Reporting Standard applicable in the UK and Republic of Ireland (as applied to small entities by section 1A of the standard).</w:t>
      </w:r>
    </w:p>
    <w:p>
      <w:r>
        <w:t xml:space="preserve">   Turnover Turnover represents ground rents receivable.</w:t>
      </w:r>
    </w:p>
    <w:p>
      <w:r>
        <w:t xml:space="preserve">   Tangible fixed assets Tangible fixed assets are measured at cost less accumulative depreciation and any accumulative impairment losses. Depreciation is provided on all tangible fixed assets, other than freehold land, at rates calculated to write off the cost, less estimated residual value, of each asset evenly over its expected useful life, as follows:</w:t>
      </w:r>
    </w:p>
    <w:p>
      <w:r>
        <w:t xml:space="preserve">   Freehold buildings Not depreciated Fixtures, fittings, tools and equipment Now written down to nominal £1</w:t>
      </w:r>
    </w:p>
    <w:p>
      <w:r>
        <w:t>2 Tangible fixed assets</w:t>
      </w:r>
    </w:p>
    <w:p>
      <w:r>
        <w:t xml:space="preserve">                                                                               Plant and</w:t>
      </w:r>
    </w:p>
    <w:p>
      <w:r>
        <w:t xml:space="preserve">                                                               Land and machinery buildings etc Total</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w:t>
            </w:r>
          </w:p>
        </w:tc>
        <w:tc>
          <w:tcPr>
            <w:tcW w:type="dxa" w:w="2160"/>
          </w:tcPr>
          <w:p>
            <w:r>
              <w:t>£</w:t>
            </w:r>
          </w:p>
        </w:tc>
        <w:tc>
          <w:tcPr>
            <w:tcW w:type="dxa" w:w="2160"/>
          </w:tcPr>
          <w:p>
            <w:r>
              <w:t>£</w:t>
            </w:r>
          </w:p>
        </w:tc>
      </w:tr>
      <w:tr>
        <w:tc>
          <w:tcPr>
            <w:tcW w:type="dxa" w:w="2160"/>
          </w:tcPr>
          <w:p>
            <w:r>
              <w:t>Cost</w:t>
            </w:r>
          </w:p>
        </w:tc>
        <w:tc>
          <w:tcPr>
            <w:tcW w:type="dxa" w:w="2160"/>
          </w:tcPr>
          <w:p/>
        </w:tc>
        <w:tc>
          <w:tcPr>
            <w:tcW w:type="dxa" w:w="2160"/>
          </w:tcPr>
          <w:p/>
        </w:tc>
        <w:tc>
          <w:tcPr>
            <w:tcW w:type="dxa" w:w="2160"/>
          </w:tcPr>
          <w:p/>
        </w:tc>
      </w:tr>
      <w:tr>
        <w:tc>
          <w:tcPr>
            <w:tcW w:type="dxa" w:w="2160"/>
          </w:tcPr>
          <w:p>
            <w:r>
              <w:t>At 1 January 2017</w:t>
            </w:r>
          </w:p>
        </w:tc>
        <w:tc>
          <w:tcPr>
            <w:tcW w:type="dxa" w:w="2160"/>
          </w:tcPr>
          <w:p>
            <w:r>
              <w:t>178</w:t>
            </w:r>
          </w:p>
        </w:tc>
        <w:tc>
          <w:tcPr>
            <w:tcW w:type="dxa" w:w="2160"/>
          </w:tcPr>
          <w:p>
            <w:r>
              <w:t>65</w:t>
            </w:r>
          </w:p>
        </w:tc>
        <w:tc>
          <w:tcPr>
            <w:tcW w:type="dxa" w:w="2160"/>
          </w:tcPr>
          <w:p>
            <w:r>
              <w:t>243</w:t>
            </w:r>
          </w:p>
        </w:tc>
      </w:tr>
      <w:tr>
        <w:tc>
          <w:tcPr>
            <w:tcW w:type="dxa" w:w="2160"/>
          </w:tcPr>
          <w:p>
            <w:r>
              <w:t>At 31 December 2017</w:t>
            </w:r>
          </w:p>
        </w:tc>
        <w:tc>
          <w:tcPr>
            <w:tcW w:type="dxa" w:w="2160"/>
          </w:tcPr>
          <w:p>
            <w:r>
              <w:t>178</w:t>
            </w:r>
          </w:p>
        </w:tc>
        <w:tc>
          <w:tcPr>
            <w:tcW w:type="dxa" w:w="2160"/>
          </w:tcPr>
          <w:p>
            <w:r>
              <w:t>65</w:t>
            </w:r>
          </w:p>
        </w:tc>
        <w:tc>
          <w:tcPr>
            <w:tcW w:type="dxa" w:w="2160"/>
          </w:tcPr>
          <w:p>
            <w:r>
              <w:t>243</w:t>
            </w:r>
          </w:p>
        </w:tc>
      </w:tr>
      <w:tr>
        <w:tc>
          <w:tcPr>
            <w:tcW w:type="dxa" w:w="2160"/>
          </w:tcPr>
          <w:p>
            <w:r>
              <w:t>Depreciation</w:t>
            </w:r>
          </w:p>
        </w:tc>
        <w:tc>
          <w:tcPr>
            <w:tcW w:type="dxa" w:w="2160"/>
          </w:tcPr>
          <w:p/>
        </w:tc>
        <w:tc>
          <w:tcPr>
            <w:tcW w:type="dxa" w:w="2160"/>
          </w:tcPr>
          <w:p/>
        </w:tc>
        <w:tc>
          <w:tcPr>
            <w:tcW w:type="dxa" w:w="2160"/>
          </w:tcPr>
          <w:p/>
        </w:tc>
      </w:tr>
      <w:tr>
        <w:tc>
          <w:tcPr>
            <w:tcW w:type="dxa" w:w="2160"/>
          </w:tcPr>
          <w:p>
            <w:r>
              <w:t>At 1 January 2017</w:t>
            </w:r>
          </w:p>
        </w:tc>
        <w:tc>
          <w:tcPr>
            <w:tcW w:type="dxa" w:w="2160"/>
          </w:tcPr>
          <w:p/>
        </w:tc>
        <w:tc>
          <w:tcPr>
            <w:tcW w:type="dxa" w:w="2160"/>
          </w:tcPr>
          <w:p>
            <w:r>
              <w:t>64</w:t>
            </w:r>
          </w:p>
        </w:tc>
        <w:tc>
          <w:tcPr>
            <w:tcW w:type="dxa" w:w="2160"/>
          </w:tcPr>
          <w:p>
            <w:r>
              <w:t>64</w:t>
            </w:r>
          </w:p>
        </w:tc>
      </w:tr>
      <w:tr>
        <w:tc>
          <w:tcPr>
            <w:tcW w:type="dxa" w:w="2160"/>
          </w:tcPr>
          <w:p>
            <w:r>
              <w:t>At 31 December 2017</w:t>
            </w:r>
          </w:p>
        </w:tc>
        <w:tc>
          <w:tcPr>
            <w:tcW w:type="dxa" w:w="2160"/>
          </w:tcPr>
          <w:p/>
        </w:tc>
        <w:tc>
          <w:tcPr>
            <w:tcW w:type="dxa" w:w="2160"/>
          </w:tcPr>
          <w:p>
            <w:r>
              <w:t>64</w:t>
            </w:r>
          </w:p>
        </w:tc>
        <w:tc>
          <w:tcPr>
            <w:tcW w:type="dxa" w:w="2160"/>
          </w:tcPr>
          <w:p>
            <w:r>
              <w:t>64</w:t>
            </w:r>
          </w:p>
        </w:tc>
      </w:tr>
      <w:tr>
        <w:tc>
          <w:tcPr>
            <w:tcW w:type="dxa" w:w="2160"/>
          </w:tcPr>
          <w:p>
            <w:r>
              <w:t>Net book value</w:t>
            </w:r>
          </w:p>
        </w:tc>
        <w:tc>
          <w:tcPr>
            <w:tcW w:type="dxa" w:w="2160"/>
          </w:tcPr>
          <w:p/>
        </w:tc>
        <w:tc>
          <w:tcPr>
            <w:tcW w:type="dxa" w:w="2160"/>
          </w:tcPr>
          <w:p/>
        </w:tc>
        <w:tc>
          <w:tcPr>
            <w:tcW w:type="dxa" w:w="2160"/>
          </w:tcPr>
          <w:p/>
        </w:tc>
      </w:tr>
      <w:tr>
        <w:tc>
          <w:tcPr>
            <w:tcW w:type="dxa" w:w="2160"/>
          </w:tcPr>
          <w:p>
            <w:r>
              <w:t>At 31 December 2017</w:t>
            </w:r>
          </w:p>
        </w:tc>
        <w:tc>
          <w:tcPr>
            <w:tcW w:type="dxa" w:w="2160"/>
          </w:tcPr>
          <w:p>
            <w:r>
              <w:t>178</w:t>
            </w:r>
          </w:p>
        </w:tc>
        <w:tc>
          <w:tcPr>
            <w:tcW w:type="dxa" w:w="2160"/>
          </w:tcPr>
          <w:p>
            <w:r>
              <w:t>1</w:t>
            </w:r>
          </w:p>
        </w:tc>
        <w:tc>
          <w:tcPr>
            <w:tcW w:type="dxa" w:w="2160"/>
          </w:tcPr>
          <w:p>
            <w:r>
              <w:t>179</w:t>
            </w:r>
          </w:p>
        </w:tc>
      </w:tr>
      <w:tr>
        <w:tc>
          <w:tcPr>
            <w:tcW w:type="dxa" w:w="2160"/>
          </w:tcPr>
          <w:p>
            <w:r>
              <w:t>At 31 December 2016</w:t>
            </w:r>
          </w:p>
        </w:tc>
        <w:tc>
          <w:tcPr>
            <w:tcW w:type="dxa" w:w="2160"/>
          </w:tcPr>
          <w:p>
            <w:r>
              <w:t>178</w:t>
            </w:r>
          </w:p>
        </w:tc>
        <w:tc>
          <w:tcPr>
            <w:tcW w:type="dxa" w:w="2160"/>
          </w:tcPr>
          <w:p>
            <w:r>
              <w:t>1</w:t>
            </w:r>
          </w:p>
        </w:tc>
        <w:tc>
          <w:tcPr>
            <w:tcW w:type="dxa" w:w="2160"/>
          </w:tcPr>
          <w:p>
            <w:r>
              <w:t>179</w:t>
            </w:r>
          </w:p>
        </w:tc>
      </w:tr>
      <w:tr>
        <w:tc>
          <w:tcPr>
            <w:tcW w:type="dxa" w:w="2160"/>
          </w:tcPr>
          <w:p>
            <w:r>
              <w:t>Creditors: amounts falling due within one year</w:t>
            </w:r>
          </w:p>
        </w:tc>
        <w:tc>
          <w:tcPr>
            <w:tcW w:type="dxa" w:w="2160"/>
          </w:tcPr>
          <w:p/>
        </w:tc>
        <w:tc>
          <w:tcPr>
            <w:tcW w:type="dxa" w:w="2160"/>
          </w:tcPr>
          <w:p>
            <w:r>
              <w:t>2017</w:t>
            </w:r>
          </w:p>
        </w:tc>
        <w:tc>
          <w:tcPr>
            <w:tcW w:type="dxa" w:w="2160"/>
          </w:tcPr>
          <w:p>
            <w:r>
              <w:t>2016</w:t>
            </w:r>
          </w:p>
        </w:tc>
      </w:tr>
      <w:tr>
        <w:tc>
          <w:tcPr>
            <w:tcW w:type="dxa" w:w="2160"/>
          </w:tcPr>
          <w:p/>
        </w:tc>
        <w:tc>
          <w:tcPr>
            <w:tcW w:type="dxa" w:w="2160"/>
          </w:tcPr>
          <w:p/>
        </w:tc>
        <w:tc>
          <w:tcPr>
            <w:tcW w:type="dxa" w:w="2160"/>
          </w:tcPr>
          <w:p>
            <w:r>
              <w:t>£</w:t>
            </w:r>
          </w:p>
        </w:tc>
        <w:tc>
          <w:tcPr>
            <w:tcW w:type="dxa" w:w="2160"/>
          </w:tcPr>
          <w:p>
            <w:r>
              <w:t>£</w:t>
            </w:r>
          </w:p>
        </w:tc>
      </w:tr>
      <w:tr>
        <w:tc>
          <w:tcPr>
            <w:tcW w:type="dxa" w:w="2160"/>
          </w:tcPr>
          <w:p>
            <w:r>
              <w:t>Other creditors</w:t>
            </w:r>
          </w:p>
        </w:tc>
        <w:tc>
          <w:tcPr>
            <w:tcW w:type="dxa" w:w="2160"/>
          </w:tcPr>
          <w:p/>
        </w:tc>
        <w:tc>
          <w:tcPr>
            <w:tcW w:type="dxa" w:w="2160"/>
          </w:tcPr>
          <w:p>
            <w:r>
              <w:t>1,092</w:t>
            </w:r>
          </w:p>
        </w:tc>
        <w:tc>
          <w:tcPr>
            <w:tcW w:type="dxa" w:w="2160"/>
          </w:tcPr>
          <w:p>
            <w:r>
              <w:t>962</w:t>
            </w:r>
          </w:p>
        </w:tc>
      </w:tr>
    </w:tbl>
    <w:p/>
    <w:p>
      <w:r>
        <w:t xml:space="preserve">   Other information</w:t>
      </w:r>
    </w:p>
    <w:p>
      <w:r>
        <w:t xml:space="preserve">   Rayner Property Services (Eastbourne) Limited is aprivate companylimitedby shares and incorporated in England. Its registered office is: 71 Meads Road Eastbourne East Sussex BN20 7QL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