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iV" - •</w:t>
      </w:r>
    </w:p>
    <w:p>
      <w:r>
        <w:t xml:space="preserve">                                           FARMLUX MANAGEMENT LLP</w:t>
      </w:r>
    </w:p>
    <w:p>
      <w:r>
        <w:t xml:space="preserve">                                United Kingdom, Registered Company No. OC338491</w:t>
      </w:r>
    </w:p>
    <w:p>
      <w:r>
        <w:t xml:space="preserve">                                REPORT OF THE MEMBERS FOR THE FINANCIAL PERIOD</w:t>
      </w:r>
    </w:p>
    <w:p>
      <w:r>
        <w:t xml:space="preserve">                                           FROM 01.08.2017 TO 31.07.2018</w:t>
      </w:r>
    </w:p>
    <w:p>
      <w:r>
        <w:t xml:space="preserve">         The Members herewith present their report with the Financial Statements of the Company for the period ended 31 July 2018.</w:t>
      </w:r>
    </w:p>
    <w:p>
      <w:r>
        <w:t xml:space="preserve">             INCORPORATION &amp; REGISTERED OFFICE</w:t>
      </w:r>
    </w:p>
    <w:p>
      <w:r>
        <w:t xml:space="preserve">         The Company incorporated on 4 July 2008 under Registered Company No. OC338491. The registered office address is at Suite B 11 Churchill Court, 58 Station Road, North Harrow, Middlesex, England, HA2 7SA.</w:t>
      </w:r>
    </w:p>
    <w:p>
      <w:r>
        <w:t xml:space="preserve">             PRINCIPAL ACTIVITY &amp; REVIEW OF BUSINESS</w:t>
      </w:r>
    </w:p>
    <w:p>
      <w:r>
        <w:t xml:space="preserve">         During the current financial period the company was active as trade agent for medical equipment and received commission.</w:t>
      </w:r>
    </w:p>
    <w:p>
      <w:r>
        <w:t xml:space="preserve">             NOTE</w:t>
      </w:r>
    </w:p>
    <w:p>
      <w:r>
        <w:t xml:space="preserve">         The company primarily conducts business in foreign currencies, such as Euros. These transactions have been converted intcKPounds Sterling at averaged Exchange rates throughout the current financial year period.</w:t>
      </w:r>
    </w:p>
    <w:p>
      <w:r>
        <w:t xml:space="preserve">             RESPONSIBILITY</w:t>
      </w:r>
    </w:p>
    <w:p>
      <w:r>
        <w:t xml:space="preserve">         The members are required by Company Law to prepare accounts for each financial year which give a true and fair view of the state of affairs of the Company as at the end of the financial year under review and of the result of that period and deliver the same to the registrar. The members of the partnership are responsible for maintaining adequate accounting records and for the safeguarding of the books and assets of the Company.</w:t>
      </w:r>
    </w:p>
    <w:p>
      <w:r>
        <w:t xml:space="preserve">             Ian VIREL for DELTRON CORP. Designated member</w:t>
      </w:r>
    </w:p>
    <w:p>
      <w:r>
        <w:t xml:space="preserve">             Approved by the members on 11 June 2018.</w:t>
      </w:r>
    </w:p>
    <w:p>
      <w:r>
        <w:br w:type="page"/>
      </w:r>
    </w:p>
    <w:p>
      <w:r>
        <w:t>7</w:t>
      </w:r>
    </w:p>
    <w:p>
      <w:r>
        <w:t xml:space="preserve">                                           FARMLUX MANAGEMENT LLP</w:t>
      </w:r>
    </w:p>
    <w:p>
      <w:r>
        <w:t xml:space="preserve">                                  United Kingdom, Registered Company No. OC338491</w:t>
      </w:r>
    </w:p>
    <w:p>
      <w:r>
        <w:t xml:space="preserve">                                                PROFIT &amp; LOSS ACCOUNT for the period ended</w:t>
      </w:r>
    </w:p>
    <w:p>
      <w:r>
        <w:t xml:space="preserve">                                                       31 July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______________2018</w:t>
            </w:r>
          </w:p>
        </w:tc>
        <w:tc>
          <w:tcPr>
            <w:tcW w:type="dxa" w:w="2880"/>
          </w:tcPr>
          <w:p>
            <w:r>
              <w:t>2017</w:t>
            </w:r>
          </w:p>
        </w:tc>
      </w:tr>
    </w:tbl>
    <w:p/>
    <w:p>
      <w:r>
        <w:t xml:space="preserve">                                                                        Notes GB£ GB£ GB£</w:t>
      </w:r>
    </w:p>
    <w:p>
      <w:r>
        <w:t xml:space="preserve">         INCOME</w:t>
      </w:r>
    </w:p>
    <w:p>
      <w:r>
        <w:t xml:space="preserve">             1. Income from ordinary activities.</w:t>
      </w:r>
    </w:p>
    <w:tbl>
      <w:tblPr>
        <w:tblW w:type="auto" w:w="0"/>
        <w:tblLayout w:type="fixed"/>
        <w:tblLook w:firstColumn="1" w:firstRow="1" w:lastColumn="0" w:lastRow="0" w:noHBand="0" w:noVBand="1" w:val="04A0"/>
      </w:tblPr>
      <w:tblGrid>
        <w:gridCol w:w="2880"/>
        <w:gridCol w:w="2880"/>
        <w:gridCol w:w="2880"/>
      </w:tblGrid>
      <w:tr>
        <w:tc>
          <w:tcPr>
            <w:tcW w:type="dxa" w:w="2880"/>
          </w:tcPr>
          <w:p>
            <w:r>
              <w:t>1.1 Commission</w:t>
            </w:r>
          </w:p>
        </w:tc>
        <w:tc>
          <w:tcPr>
            <w:tcW w:type="dxa" w:w="2880"/>
          </w:tcPr>
          <w:p>
            <w:r>
              <w:t>6 039</w:t>
            </w:r>
          </w:p>
        </w:tc>
        <w:tc>
          <w:tcPr>
            <w:tcW w:type="dxa" w:w="2880"/>
          </w:tcPr>
          <w:p>
            <w:r>
              <w:t>5 950</w:t>
            </w:r>
          </w:p>
        </w:tc>
      </w:tr>
    </w:tbl>
    <w:p/>
    <w:p>
      <w:r>
        <w:t xml:space="preserve">         OPERATING EXPENSES</w:t>
      </w:r>
    </w:p>
    <w:p>
      <w:r>
        <w:t xml:space="preserve">             Administrative Expenses</w:t>
      </w:r>
    </w:p>
    <w:tbl>
      <w:tblPr>
        <w:tblW w:type="auto" w:w="0"/>
        <w:tblLayout w:type="fixed"/>
        <w:tblLook w:firstColumn="1" w:firstRow="1" w:lastColumn="0" w:lastRow="0" w:noHBand="0" w:noVBand="1" w:val="04A0"/>
      </w:tblPr>
      <w:tblGrid>
        <w:gridCol w:w="2880"/>
        <w:gridCol w:w="2880"/>
        <w:gridCol w:w="2880"/>
      </w:tblGrid>
      <w:tr>
        <w:tc>
          <w:tcPr>
            <w:tcW w:type="dxa" w:w="2880"/>
          </w:tcPr>
          <w:p>
            <w:r>
              <w:t>TOTAL OPERATING EXPENSES</w:t>
            </w:r>
          </w:p>
        </w:tc>
        <w:tc>
          <w:tcPr>
            <w:tcW w:type="dxa" w:w="2880"/>
          </w:tcPr>
          <w:p>
            <w:r>
              <w:t>(1 500)</w:t>
            </w:r>
          </w:p>
        </w:tc>
        <w:tc>
          <w:tcPr>
            <w:tcW w:type="dxa" w:w="2880"/>
          </w:tcPr>
          <w:p>
            <w:r>
              <w:t>(1 500)</w:t>
            </w:r>
          </w:p>
        </w:tc>
      </w:tr>
      <w:tr>
        <w:tc>
          <w:tcPr>
            <w:tcW w:type="dxa" w:w="2880"/>
          </w:tcPr>
          <w:p>
            <w:r>
              <w:t>OPERATING PROFIT</w:t>
            </w:r>
          </w:p>
        </w:tc>
        <w:tc>
          <w:tcPr>
            <w:tcW w:type="dxa" w:w="2880"/>
          </w:tcPr>
          <w:p>
            <w:r>
              <w:t>4 539</w:t>
            </w:r>
          </w:p>
        </w:tc>
        <w:tc>
          <w:tcPr>
            <w:tcW w:type="dxa" w:w="2880"/>
          </w:tcPr>
          <w:p>
            <w:r>
              <w:t>4 450</w:t>
            </w:r>
          </w:p>
        </w:tc>
      </w:tr>
      <w:tr>
        <w:tc>
          <w:tcPr>
            <w:tcW w:type="dxa" w:w="2880"/>
          </w:tcPr>
          <w:p>
            <w:r>
              <w:t>PROFIT FOR PERIOD</w:t>
            </w:r>
          </w:p>
        </w:tc>
        <w:tc>
          <w:tcPr>
            <w:tcW w:type="dxa" w:w="2880"/>
          </w:tcPr>
          <w:p>
            <w:r>
              <w:t>4 539</w:t>
            </w:r>
          </w:p>
        </w:tc>
        <w:tc>
          <w:tcPr>
            <w:tcW w:type="dxa" w:w="2880"/>
          </w:tcPr>
          <w:p>
            <w:r>
              <w:t>4 450</w:t>
            </w:r>
          </w:p>
        </w:tc>
      </w:tr>
    </w:tbl>
    <w:p/>
    <w:p>
      <w:r>
        <w:t xml:space="preserve">             lanvIREL for DELTRON CORP. Designated member</w:t>
      </w:r>
    </w:p>
    <w:p>
      <w:r>
        <w:t xml:space="preserve">             Approved by the members on 11 June 2018.</w:t>
      </w:r>
    </w:p>
    <w:p>
      <w:r>
        <w:br w:type="page"/>
      </w:r>
    </w:p>
    <w:p>
      <w:r>
        <w:t xml:space="preserve">                                           FARMLUX AAANAGEMENT LLP</w:t>
      </w:r>
    </w:p>
    <w:p>
      <w:r>
        <w:t xml:space="preserve">                                  United Kingdom, Registered Company No. OC338491</w:t>
      </w:r>
    </w:p>
    <w:p>
      <w:r>
        <w:t xml:space="preserve">                                                     BALANCE SHEET</w:t>
      </w:r>
    </w:p>
    <w:p>
      <w:r>
        <w:t xml:space="preserve">                                                            as at</w:t>
      </w:r>
    </w:p>
    <w:p>
      <w:r>
        <w:t xml:space="preserve">                                                     31 July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bl>
    <w:p/>
    <w:p>
      <w:r>
        <w:t xml:space="preserve">                                                                        Notes GB£ GB£ GB£</w:t>
      </w:r>
    </w:p>
    <w:p>
      <w:r>
        <w:t xml:space="preserve">         CURRENT ASSETS</w:t>
      </w:r>
    </w:p>
    <w:tbl>
      <w:tblPr>
        <w:tblW w:type="auto" w:w="0"/>
        <w:tblLayout w:type="fixed"/>
        <w:tblLook w:firstColumn="1" w:firstRow="1" w:lastColumn="0" w:lastRow="0" w:noHBand="0" w:noVBand="1" w:val="04A0"/>
      </w:tblPr>
      <w:tblGrid>
        <w:gridCol w:w="2880"/>
        <w:gridCol w:w="2880"/>
        <w:gridCol w:w="2880"/>
      </w:tblGrid>
      <w:tr>
        <w:tc>
          <w:tcPr>
            <w:tcW w:type="dxa" w:w="2880"/>
          </w:tcPr>
          <w:p>
            <w:r>
              <w:t>Debtors</w:t>
            </w:r>
          </w:p>
        </w:tc>
        <w:tc>
          <w:tcPr>
            <w:tcW w:type="dxa" w:w="2880"/>
          </w:tcPr>
          <w:p>
            <w:r>
              <w:t>6 039</w:t>
            </w:r>
          </w:p>
        </w:tc>
        <w:tc>
          <w:tcPr>
            <w:tcW w:type="dxa" w:w="2880"/>
          </w:tcPr>
          <w:p>
            <w:r>
              <w:t>5 950</w:t>
            </w:r>
          </w:p>
        </w:tc>
      </w:tr>
      <w:tr>
        <w:tc>
          <w:tcPr>
            <w:tcW w:type="dxa" w:w="2880"/>
          </w:tcPr>
          <w:p>
            <w:r>
              <w:t>Cash at Bank or in hand</w:t>
            </w:r>
          </w:p>
        </w:tc>
        <w:tc>
          <w:tcPr>
            <w:tcW w:type="dxa" w:w="2880"/>
          </w:tcPr>
          <w:p>
            <w:r>
              <w:t>26 532</w:t>
            </w:r>
          </w:p>
        </w:tc>
        <w:tc>
          <w:tcPr>
            <w:tcW w:type="dxa" w:w="2880"/>
          </w:tcPr>
          <w:p>
            <w:r>
              <w:t>22 082</w:t>
            </w:r>
          </w:p>
        </w:tc>
      </w:tr>
      <w:tr>
        <w:tc>
          <w:tcPr>
            <w:tcW w:type="dxa" w:w="2880"/>
          </w:tcPr>
          <w:p>
            <w:r>
              <w:t>NET CURRENT ASSETS</w:t>
            </w:r>
          </w:p>
        </w:tc>
        <w:tc>
          <w:tcPr>
            <w:tcW w:type="dxa" w:w="2880"/>
          </w:tcPr>
          <w:p>
            <w:r>
              <w:t>32 571</w:t>
            </w:r>
          </w:p>
        </w:tc>
        <w:tc>
          <w:tcPr>
            <w:tcW w:type="dxa" w:w="2880"/>
          </w:tcPr>
          <w:p>
            <w:r>
              <w:t>28 032</w:t>
            </w:r>
          </w:p>
        </w:tc>
      </w:tr>
      <w:tr>
        <w:tc>
          <w:tcPr>
            <w:tcW w:type="dxa" w:w="2880"/>
          </w:tcPr>
          <w:p>
            <w:r>
              <w:t>CREDITORS</w:t>
            </w:r>
          </w:p>
        </w:tc>
        <w:tc>
          <w:tcPr>
            <w:tcW w:type="dxa" w:w="2880"/>
          </w:tcPr>
          <w:p/>
        </w:tc>
        <w:tc>
          <w:tcPr>
            <w:tcW w:type="dxa" w:w="2880"/>
          </w:tcPr>
          <w:p/>
        </w:tc>
      </w:tr>
      <w:tr>
        <w:tc>
          <w:tcPr>
            <w:tcW w:type="dxa" w:w="2880"/>
          </w:tcPr>
          <w:p>
            <w:r>
              <w:t>Amounts falling due within one year</w:t>
            </w:r>
          </w:p>
        </w:tc>
        <w:tc>
          <w:tcPr>
            <w:tcW w:type="dxa" w:w="2880"/>
          </w:tcPr>
          <w:p>
            <w:r>
              <w:t>(1 500)</w:t>
            </w:r>
          </w:p>
        </w:tc>
        <w:tc>
          <w:tcPr>
            <w:tcW w:type="dxa" w:w="2880"/>
          </w:tcPr>
          <w:p>
            <w:r>
              <w:t>(1 500)</w:t>
            </w:r>
          </w:p>
        </w:tc>
      </w:tr>
      <w:tr>
        <w:tc>
          <w:tcPr>
            <w:tcW w:type="dxa" w:w="2880"/>
          </w:tcPr>
          <w:p>
            <w:r>
              <w:t>TOTAL ASSETS LESS CURRENT LIABILITIES</w:t>
            </w:r>
          </w:p>
        </w:tc>
        <w:tc>
          <w:tcPr>
            <w:tcW w:type="dxa" w:w="2880"/>
          </w:tcPr>
          <w:p>
            <w:r>
              <w:t>31 071</w:t>
            </w:r>
          </w:p>
        </w:tc>
        <w:tc>
          <w:tcPr>
            <w:tcW w:type="dxa" w:w="2880"/>
          </w:tcPr>
          <w:p>
            <w:r>
              <w:t>26 532</w:t>
            </w:r>
          </w:p>
        </w:tc>
      </w:tr>
      <w:tr>
        <w:tc>
          <w:tcPr>
            <w:tcW w:type="dxa" w:w="2880"/>
          </w:tcPr>
          <w:p>
            <w:r>
              <w:t>REPRESENTED BY:</w:t>
            </w:r>
          </w:p>
        </w:tc>
        <w:tc>
          <w:tcPr>
            <w:tcW w:type="dxa" w:w="2880"/>
          </w:tcPr>
          <w:p/>
        </w:tc>
        <w:tc>
          <w:tcPr>
            <w:tcW w:type="dxa" w:w="2880"/>
          </w:tcPr>
          <w:p/>
        </w:tc>
      </w:tr>
      <w:tr>
        <w:tc>
          <w:tcPr>
            <w:tcW w:type="dxa" w:w="2880"/>
          </w:tcPr>
          <w:p>
            <w:r>
              <w:t>Members capital</w:t>
            </w:r>
          </w:p>
        </w:tc>
        <w:tc>
          <w:tcPr>
            <w:tcW w:type="dxa" w:w="2880"/>
          </w:tcPr>
          <w:p>
            <w:r>
              <w:t>300</w:t>
            </w:r>
          </w:p>
        </w:tc>
        <w:tc>
          <w:tcPr>
            <w:tcW w:type="dxa" w:w="2880"/>
          </w:tcPr>
          <w:p>
            <w:r>
              <w:t>300</w:t>
            </w:r>
          </w:p>
        </w:tc>
      </w:tr>
      <w:tr>
        <w:tc>
          <w:tcPr>
            <w:tcW w:type="dxa" w:w="2880"/>
          </w:tcPr>
          <w:p>
            <w:r>
              <w:t>Reserves</w:t>
            </w:r>
          </w:p>
        </w:tc>
        <w:tc>
          <w:tcPr>
            <w:tcW w:type="dxa" w:w="2880"/>
          </w:tcPr>
          <w:p>
            <w:r>
              <w:t>26 232</w:t>
            </w:r>
          </w:p>
        </w:tc>
        <w:tc>
          <w:tcPr>
            <w:tcW w:type="dxa" w:w="2880"/>
          </w:tcPr>
          <w:p>
            <w:r>
              <w:t>21 782</w:t>
            </w:r>
          </w:p>
        </w:tc>
      </w:tr>
      <w:tr>
        <w:tc>
          <w:tcPr>
            <w:tcW w:type="dxa" w:w="2880"/>
          </w:tcPr>
          <w:p>
            <w:r>
              <w:t>Profit &amp; Loss Account</w:t>
            </w:r>
          </w:p>
        </w:tc>
        <w:tc>
          <w:tcPr>
            <w:tcW w:type="dxa" w:w="2880"/>
          </w:tcPr>
          <w:p>
            <w:r>
              <w:t>4 539</w:t>
            </w:r>
          </w:p>
        </w:tc>
        <w:tc>
          <w:tcPr>
            <w:tcW w:type="dxa" w:w="2880"/>
          </w:tcPr>
          <w:p>
            <w:r>
              <w:t>4 450</w:t>
            </w:r>
          </w:p>
        </w:tc>
      </w:tr>
      <w:tr>
        <w:tc>
          <w:tcPr>
            <w:tcW w:type="dxa" w:w="2880"/>
          </w:tcPr>
          <w:p>
            <w:r>
              <w:t>TOTAL CAPITAL &amp; RESERVES</w:t>
            </w:r>
          </w:p>
        </w:tc>
        <w:tc>
          <w:tcPr>
            <w:tcW w:type="dxa" w:w="2880"/>
          </w:tcPr>
          <w:p>
            <w:r>
              <w:t>31 071</w:t>
            </w:r>
          </w:p>
        </w:tc>
        <w:tc>
          <w:tcPr>
            <w:tcW w:type="dxa" w:w="2880"/>
          </w:tcPr>
          <w:p>
            <w:r>
              <w:t>26 532</w:t>
            </w:r>
          </w:p>
        </w:tc>
      </w:tr>
    </w:tbl>
    <w:p/>
    <w:p>
      <w:r>
        <w:t xml:space="preserve">         1. For the year ending 31/07/2018 the limited liability partnership was entitled to exemption from audit</w:t>
      </w:r>
    </w:p>
    <w:p>
      <w:r>
        <w:t xml:space="preserve">             under section 477 of the Companies Act 2006 (as applied by The Limited Liability Partnerships (Accounts and Audit) (Application of Companies Act 2006) Regulations 2008) relating to small limited liability partnerships.</w:t>
      </w:r>
    </w:p>
    <w:p>
      <w:r>
        <w:t xml:space="preserve">         2. The members acknowledge their responsibility for complying with the requirements of the Companies</w:t>
      </w:r>
    </w:p>
    <w:p>
      <w:r>
        <w:t xml:space="preserve">             Act 2006 (as applied to limited liability partnerships) with respect to accounting records and the preparation of accounts.</w:t>
      </w:r>
    </w:p>
    <w:p>
      <w:r>
        <w:t xml:space="preserve">         3. These accounts have been prepared in accordance with the special provisions of the Companies Act</w:t>
      </w:r>
    </w:p>
    <w:p>
      <w:r>
        <w:t xml:space="preserve">             2006 (as applied by the Limited Liability Partnerships (Accounts and Audit) (Application of Companies Act 2006) Regulations 2008) applicable to LLPs subject to the small LLPs regime.</w:t>
      </w:r>
    </w:p>
    <w:p>
      <w:r>
        <w:t xml:space="preserve">             Ian VIREL for DELTRON CORP. Designated member</w:t>
      </w:r>
    </w:p>
    <w:p>
      <w:r>
        <w:t xml:space="preserve">             Approved by the members on 11 June 2018.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