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OC336219 Kelvington Trade LLP Statement of financial position as at 30 June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r>
              <w:t>Notes</w:t>
            </w:r>
          </w:p>
        </w:tc>
        <w:tc>
          <w:tcPr>
            <w:tcW w:type="dxa" w:w="1440"/>
          </w:tcPr>
          <w:p/>
        </w:tc>
        <w:tc>
          <w:tcPr>
            <w:tcW w:type="dxa" w:w="1440"/>
          </w:tcPr>
          <w:p>
            <w:r>
              <w:t>2018</w:t>
            </w:r>
          </w:p>
        </w:tc>
        <w:tc>
          <w:tcPr>
            <w:tcW w:type="dxa" w:w="1440"/>
          </w:tcPr>
          <w:p/>
        </w:tc>
        <w:tc>
          <w:tcPr>
            <w:tcW w:type="dxa" w:w="1440"/>
          </w:tcPr>
          <w:p>
            <w:r>
              <w:t>2017</w:t>
            </w:r>
          </w:p>
        </w:tc>
      </w:tr>
    </w:tbl>
    <w:p/>
    <w:p>
      <w:r>
        <w:t xml:space="preserve">                                                                              GBP GBP</w:t>
      </w:r>
    </w:p>
    <w:p>
      <w:r>
        <w:t xml:space="preserve">        Current assets</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Debtors</w:t>
            </w:r>
          </w:p>
        </w:tc>
        <w:tc>
          <w:tcPr>
            <w:tcW w:type="dxa" w:w="1440"/>
          </w:tcPr>
          <w:p>
            <w:r>
              <w:t>2</w:t>
            </w:r>
          </w:p>
        </w:tc>
        <w:tc>
          <w:tcPr>
            <w:tcW w:type="dxa" w:w="1440"/>
          </w:tcPr>
          <w:p>
            <w:r>
              <w:t>3,626</w:t>
            </w:r>
          </w:p>
        </w:tc>
        <w:tc>
          <w:tcPr>
            <w:tcW w:type="dxa" w:w="1440"/>
          </w:tcPr>
          <w:p/>
        </w:tc>
        <w:tc>
          <w:tcPr>
            <w:tcW w:type="dxa" w:w="1440"/>
          </w:tcPr>
          <w:p>
            <w:r>
              <w:t>3,634</w:t>
            </w:r>
          </w:p>
        </w:tc>
        <w:tc>
          <w:tcPr>
            <w:tcW w:type="dxa" w:w="1440"/>
          </w:tcPr>
          <w:p/>
        </w:tc>
      </w:tr>
      <w:tr>
        <w:tc>
          <w:tcPr>
            <w:tcW w:type="dxa" w:w="1440"/>
          </w:tcPr>
          <w:p>
            <w:r>
              <w:t>Cash at bank and in hand</w:t>
            </w:r>
          </w:p>
        </w:tc>
        <w:tc>
          <w:tcPr>
            <w:tcW w:type="dxa" w:w="1440"/>
          </w:tcPr>
          <w:p/>
        </w:tc>
        <w:tc>
          <w:tcPr>
            <w:tcW w:type="dxa" w:w="1440"/>
          </w:tcPr>
          <w:p>
            <w:r>
              <w:t>6,183</w:t>
            </w:r>
          </w:p>
        </w:tc>
        <w:tc>
          <w:tcPr>
            <w:tcW w:type="dxa" w:w="1440"/>
          </w:tcPr>
          <w:p/>
        </w:tc>
        <w:tc>
          <w:tcPr>
            <w:tcW w:type="dxa" w:w="1440"/>
          </w:tcPr>
          <w:p>
            <w:r>
              <w:t>5,257</w:t>
            </w:r>
          </w:p>
        </w:tc>
        <w:tc>
          <w:tcPr>
            <w:tcW w:type="dxa" w:w="1440"/>
          </w:tcPr>
          <w:p/>
        </w:tc>
      </w:tr>
      <w:tr>
        <w:tc>
          <w:tcPr>
            <w:tcW w:type="dxa" w:w="1440"/>
          </w:tcPr>
          <w:p/>
        </w:tc>
        <w:tc>
          <w:tcPr>
            <w:tcW w:type="dxa" w:w="1440"/>
          </w:tcPr>
          <w:p/>
        </w:tc>
        <w:tc>
          <w:tcPr>
            <w:tcW w:type="dxa" w:w="1440"/>
          </w:tcPr>
          <w:p>
            <w:r>
              <w:t>9,809</w:t>
            </w:r>
          </w:p>
        </w:tc>
        <w:tc>
          <w:tcPr>
            <w:tcW w:type="dxa" w:w="1440"/>
          </w:tcPr>
          <w:p/>
        </w:tc>
        <w:tc>
          <w:tcPr>
            <w:tcW w:type="dxa" w:w="1440"/>
          </w:tcPr>
          <w:p>
            <w:r>
              <w:t>8,891</w:t>
            </w:r>
          </w:p>
        </w:tc>
        <w:tc>
          <w:tcPr>
            <w:tcW w:type="dxa" w:w="1440"/>
          </w:tcPr>
          <w:p/>
        </w:tc>
      </w:tr>
      <w:tr>
        <w:tc>
          <w:tcPr>
            <w:tcW w:type="dxa" w:w="1440"/>
          </w:tcPr>
          <w:p>
            <w:r>
              <w:t>Creditors: amount falling due within</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one year</w:t>
            </w:r>
          </w:p>
        </w:tc>
        <w:tc>
          <w:tcPr>
            <w:tcW w:type="dxa" w:w="1440"/>
          </w:tcPr>
          <w:p>
            <w:r>
              <w:t>3</w:t>
            </w:r>
          </w:p>
        </w:tc>
        <w:tc>
          <w:tcPr>
            <w:tcW w:type="dxa" w:w="1440"/>
          </w:tcPr>
          <w:p>
            <w:r>
              <w:t>(949)</w:t>
            </w:r>
          </w:p>
        </w:tc>
        <w:tc>
          <w:tcPr>
            <w:tcW w:type="dxa" w:w="1440"/>
          </w:tcPr>
          <w:p/>
        </w:tc>
        <w:tc>
          <w:tcPr>
            <w:tcW w:type="dxa" w:w="1440"/>
          </w:tcPr>
          <w:p>
            <w:r>
              <w:t>(1,031)</w:t>
            </w:r>
          </w:p>
        </w:tc>
        <w:tc>
          <w:tcPr>
            <w:tcW w:type="dxa" w:w="1440"/>
          </w:tcPr>
          <w:p/>
        </w:tc>
      </w:tr>
      <w:tr>
        <w:tc>
          <w:tcPr>
            <w:tcW w:type="dxa" w:w="1440"/>
          </w:tcPr>
          <w:p>
            <w:r>
              <w:t>Net current assets</w:t>
            </w:r>
          </w:p>
        </w:tc>
        <w:tc>
          <w:tcPr>
            <w:tcW w:type="dxa" w:w="1440"/>
          </w:tcPr>
          <w:p/>
        </w:tc>
        <w:tc>
          <w:tcPr>
            <w:tcW w:type="dxa" w:w="1440"/>
          </w:tcPr>
          <w:p/>
        </w:tc>
        <w:tc>
          <w:tcPr>
            <w:tcW w:type="dxa" w:w="1440"/>
          </w:tcPr>
          <w:p>
            <w:r>
              <w:t>8,860</w:t>
            </w:r>
          </w:p>
        </w:tc>
        <w:tc>
          <w:tcPr>
            <w:tcW w:type="dxa" w:w="1440"/>
          </w:tcPr>
          <w:p/>
        </w:tc>
        <w:tc>
          <w:tcPr>
            <w:tcW w:type="dxa" w:w="1440"/>
          </w:tcPr>
          <w:p>
            <w:r>
              <w:t>7,860</w:t>
            </w:r>
          </w:p>
        </w:tc>
      </w:tr>
      <w:tr>
        <w:tc>
          <w:tcPr>
            <w:tcW w:type="dxa" w:w="1440"/>
          </w:tcPr>
          <w:p>
            <w:r>
              <w:t>Total assets less current liabilities</w:t>
            </w:r>
          </w:p>
        </w:tc>
        <w:tc>
          <w:tcPr>
            <w:tcW w:type="dxa" w:w="1440"/>
          </w:tcPr>
          <w:p/>
        </w:tc>
        <w:tc>
          <w:tcPr>
            <w:tcW w:type="dxa" w:w="1440"/>
          </w:tcPr>
          <w:p/>
        </w:tc>
        <w:tc>
          <w:tcPr>
            <w:tcW w:type="dxa" w:w="1440"/>
          </w:tcPr>
          <w:p>
            <w:r>
              <w:t>8,860</w:t>
            </w:r>
          </w:p>
        </w:tc>
        <w:tc>
          <w:tcPr>
            <w:tcW w:type="dxa" w:w="1440"/>
          </w:tcPr>
          <w:p/>
        </w:tc>
        <w:tc>
          <w:tcPr>
            <w:tcW w:type="dxa" w:w="1440"/>
          </w:tcPr>
          <w:p>
            <w:r>
              <w:t>7,860</w:t>
            </w:r>
          </w:p>
        </w:tc>
      </w:tr>
      <w:tr>
        <w:tc>
          <w:tcPr>
            <w:tcW w:type="dxa" w:w="1440"/>
          </w:tcPr>
          <w:p>
            <w:r>
              <w:t>Net assets</w:t>
            </w:r>
          </w:p>
        </w:tc>
        <w:tc>
          <w:tcPr>
            <w:tcW w:type="dxa" w:w="1440"/>
          </w:tcPr>
          <w:p/>
        </w:tc>
        <w:tc>
          <w:tcPr>
            <w:tcW w:type="dxa" w:w="1440"/>
          </w:tcPr>
          <w:p/>
        </w:tc>
        <w:tc>
          <w:tcPr>
            <w:tcW w:type="dxa" w:w="1440"/>
          </w:tcPr>
          <w:p>
            <w:r>
              <w:t>8,860</w:t>
            </w:r>
          </w:p>
        </w:tc>
        <w:tc>
          <w:tcPr>
            <w:tcW w:type="dxa" w:w="1440"/>
          </w:tcPr>
          <w:p/>
        </w:tc>
        <w:tc>
          <w:tcPr>
            <w:tcW w:type="dxa" w:w="1440"/>
          </w:tcPr>
          <w:p>
            <w:r>
              <w:t>7,860</w:t>
            </w:r>
          </w:p>
        </w:tc>
      </w:tr>
      <w:tr>
        <w:tc>
          <w:tcPr>
            <w:tcW w:type="dxa" w:w="1440"/>
          </w:tcPr>
          <w:p>
            <w:r>
              <w:t>Total members' interest</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Member's interest</w:t>
            </w:r>
          </w:p>
        </w:tc>
        <w:tc>
          <w:tcPr>
            <w:tcW w:type="dxa" w:w="1440"/>
          </w:tcPr>
          <w:p/>
        </w:tc>
        <w:tc>
          <w:tcPr>
            <w:tcW w:type="dxa" w:w="1440"/>
          </w:tcPr>
          <w:p/>
        </w:tc>
        <w:tc>
          <w:tcPr>
            <w:tcW w:type="dxa" w:w="1440"/>
          </w:tcPr>
          <w:p>
            <w:r>
              <w:t>8,860</w:t>
            </w:r>
          </w:p>
        </w:tc>
        <w:tc>
          <w:tcPr>
            <w:tcW w:type="dxa" w:w="1440"/>
          </w:tcPr>
          <w:p/>
        </w:tc>
        <w:tc>
          <w:tcPr>
            <w:tcW w:type="dxa" w:w="1440"/>
          </w:tcPr>
          <w:p>
            <w:r>
              <w:t>7,860</w:t>
            </w:r>
          </w:p>
        </w:tc>
      </w:tr>
      <w:tr>
        <w:tc>
          <w:tcPr>
            <w:tcW w:type="dxa" w:w="1440"/>
          </w:tcPr>
          <w:p/>
        </w:tc>
        <w:tc>
          <w:tcPr>
            <w:tcW w:type="dxa" w:w="1440"/>
          </w:tcPr>
          <w:p/>
        </w:tc>
        <w:tc>
          <w:tcPr>
            <w:tcW w:type="dxa" w:w="1440"/>
          </w:tcPr>
          <w:p/>
        </w:tc>
        <w:tc>
          <w:tcPr>
            <w:tcW w:type="dxa" w:w="1440"/>
          </w:tcPr>
          <w:p>
            <w:r>
              <w:t>8,860</w:t>
            </w:r>
          </w:p>
        </w:tc>
        <w:tc>
          <w:tcPr>
            <w:tcW w:type="dxa" w:w="1440"/>
          </w:tcPr>
          <w:p/>
        </w:tc>
        <w:tc>
          <w:tcPr>
            <w:tcW w:type="dxa" w:w="1440"/>
          </w:tcPr>
          <w:p>
            <w:r>
              <w:t>7,860</w:t>
            </w:r>
          </w:p>
        </w:tc>
      </w:tr>
    </w:tbl>
    <w:p/>
    <w:p>
      <w:r>
        <w:t xml:space="preserve">        The members are satisfied that the LLP is entitled to exemption from the requirement to obtain an audit under section 477 of the Companies Act 2006 (as applied by The Limited Liability Partnerships Regulations 2008) relating to small LLPs.</w:t>
      </w:r>
    </w:p>
    <w:p>
      <w:r>
        <w:t xml:space="preserve">        The members acknowledge their responsibilities for complying with the requirements of the Companies Act 2006 with respect to accounting records and the preparation of accounts. The accounts have been prepared in accordance with the provisions applicable to LLPs subject to the small LLPs regime. The profit and loss accoqnt has not been delivered to the Registrar of Companies.</w:t>
      </w:r>
    </w:p>
    <w:p>
      <w:r>
        <w:t xml:space="preserve">        This repom was apjjfetfgcTbythe members on 5th October 2018.</w:t>
      </w:r>
    </w:p>
    <w:p>
      <w:r>
        <w:t xml:space="preserve">        KaffiermaAnne Hickson for Millward Investments Ltd. Designated member</w:t>
      </w:r>
    </w:p>
    <w:p>
      <w:r>
        <w:t xml:space="preserve">                                                                              cUnJ</w:t>
      </w:r>
    </w:p>
    <w:p>
      <w:r>
        <w:br w:type="page"/>
      </w:r>
    </w:p>
    <w:p>
      <w:r>
        <w:t xml:space="preserve">         Kelvington Trade LLP Notes to the Accounts For the year ended 30 June 2018</w:t>
      </w:r>
    </w:p>
    <w:p>
      <w:r>
        <w:t xml:space="preserve">         1 Accounting policies Basis of preparation The accounts have been prepared under the historical cost convention and in accordance with FRS 102, the financial reporting standard applicable in the UK and the Republic of Ireland, (as applied to small entities by section 1A of the standard) and the Statement of Recommended Practice (SORP), Accounting by Limited Liability Partnerships.</w:t>
      </w:r>
    </w:p>
    <w:p>
      <w:r>
        <w:t xml:space="preserve">         Turnover Turnover represents the commission value received by the partnership in accordance with agency agreement.</w:t>
      </w:r>
    </w:p>
    <w:p>
      <w:r>
        <w:t xml:space="preserve">         Debtors Short term debtors are measured at transaction price (which is usually the invoice price), less any impairment losses for bad and doubtful debts. Loans and other financial assets are initially recognised at transaction price including any transaction costs and subsequently measured at amortised cost determined using the effective interest method, less any impairment losses for bad and doubtful debts.</w:t>
      </w:r>
    </w:p>
    <w:p>
      <w:r>
        <w:t xml:space="preserve">         Creditors Short term creditors are measured at transaction price (which is usually the invoice price). Loans and other financial liabilities are initially recognised at transaction price net of any transaction costs and subsequently measured at amortised cost determined using the effective interest method.</w:t>
      </w:r>
    </w:p>
    <w:p>
      <w:r>
        <w:t xml:space="preserve">         Division of profits Profits are treated as being available for discretionary division only if the LLP has an unconditional right to refuse payment of the profits of a particular year unless and until the members agree to divide them. Profits are otherwise automatically divided and included under Members' remuneration charged as an expense in the profit and loss account.</w:t>
      </w:r>
    </w:p>
    <w:p>
      <w:r>
        <w:t xml:space="preserve">         Taxation Taxation is not provided for in the accounts as taxation is the personal liability of the members. Any amounts held by the LLP on behalf of members in respect of their tax liabilities are treated as debts due to members.</w:t>
      </w:r>
    </w:p>
    <w:p>
      <w:r>
        <w:t xml:space="preserve">         Foreign currencies Transactions in foreign currencies are initially recognised at the rate of exchange ruling at the date of the transaction. At the end of each reporting period foreign currency monetary items are translated at the closing rate of exchange. Non-monetary items that are measured at historical cost are translated at the rate ruling at the date of the transaction. All differences are charged to profit or loss.</w:t>
      </w:r>
    </w:p>
    <w:p>
      <w:r>
        <w:t xml:space="preserve">         Employees There were no employees during the year 2018.</w:t>
      </w:r>
    </w:p>
    <w:p>
      <w:r>
        <w:br w:type="page"/>
      </w:r>
    </w:p>
    <w:p>
      <w:r>
        <w:t xml:space="preserve">         Members' capital Members' capital is classified as debt and not equity if there is a contractual obligation for the LLP to repay the capital to members, even if that obligation is conditional.</w:t>
      </w:r>
    </w:p>
    <w:p>
      <w:r>
        <w:t xml:space="preserve">         Other information Kelvington Trade LLP is a limited liability partnership incorporated in England. Its registered office is: 207 Regent Street, 3rd Floor, London, W1B 3HH.</w:t>
      </w:r>
    </w:p>
    <w:p>
      <w:r>
        <w:t xml:space="preserve">         2 Debtors</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GBP GBP</w:t>
      </w:r>
    </w:p>
    <w:tbl>
      <w:tblPr>
        <w:tblW w:type="auto" w:w="0"/>
        <w:tblLayout w:type="fixed"/>
        <w:tblLook w:firstColumn="1" w:firstRow="1" w:lastColumn="0" w:lastRow="0" w:noHBand="0" w:noVBand="1" w:val="04A0"/>
      </w:tblPr>
      <w:tblGrid>
        <w:gridCol w:w="2880"/>
        <w:gridCol w:w="2880"/>
        <w:gridCol w:w="2880"/>
      </w:tblGrid>
      <w:tr>
        <w:tc>
          <w:tcPr>
            <w:tcW w:type="dxa" w:w="2880"/>
          </w:tcPr>
          <w:p>
            <w:r>
              <w:t>Trade debtors</w:t>
            </w:r>
          </w:p>
        </w:tc>
        <w:tc>
          <w:tcPr>
            <w:tcW w:type="dxa" w:w="2880"/>
          </w:tcPr>
          <w:p>
            <w:r>
              <w:t>3,626</w:t>
            </w:r>
          </w:p>
        </w:tc>
        <w:tc>
          <w:tcPr>
            <w:tcW w:type="dxa" w:w="2880"/>
          </w:tcPr>
          <w:p>
            <w:r>
              <w:t>3,634</w:t>
            </w:r>
          </w:p>
        </w:tc>
      </w:tr>
      <w:tr>
        <w:tc>
          <w:tcPr>
            <w:tcW w:type="dxa" w:w="2880"/>
          </w:tcPr>
          <w:p>
            <w:r>
              <w:t>3 Creditors: amounts falling due within one year</w:t>
            </w:r>
          </w:p>
        </w:tc>
        <w:tc>
          <w:tcPr>
            <w:tcW w:type="dxa" w:w="2880"/>
          </w:tcPr>
          <w:p/>
        </w:tc>
        <w:tc>
          <w:tcPr>
            <w:tcW w:type="dxa" w:w="2880"/>
          </w:tcPr>
          <w:p/>
        </w:tc>
      </w:tr>
      <w:tr>
        <w:tc>
          <w:tcPr>
            <w:tcW w:type="dxa" w:w="2880"/>
          </w:tcPr>
          <w:p/>
        </w:tc>
        <w:tc>
          <w:tcPr>
            <w:tcW w:type="dxa" w:w="2880"/>
          </w:tcPr>
          <w:p>
            <w:r>
              <w:t>2018</w:t>
            </w:r>
          </w:p>
        </w:tc>
        <w:tc>
          <w:tcPr>
            <w:tcW w:type="dxa" w:w="2880"/>
          </w:tcPr>
          <w:p>
            <w:r>
              <w:t>2017</w:t>
            </w:r>
          </w:p>
        </w:tc>
      </w:tr>
    </w:tbl>
    <w:p/>
    <w:p>
      <w:r>
        <w:t xml:space="preserve">                                                                            GBP GBP</w:t>
      </w:r>
    </w:p>
    <w:tbl>
      <w:tblPr>
        <w:tblW w:type="auto" w:w="0"/>
        <w:tblLayout w:type="fixed"/>
        <w:tblLook w:firstColumn="1" w:firstRow="1" w:lastColumn="0" w:lastRow="0" w:noHBand="0" w:noVBand="1" w:val="04A0"/>
      </w:tblPr>
      <w:tblGrid>
        <w:gridCol w:w="2880"/>
        <w:gridCol w:w="2880"/>
        <w:gridCol w:w="2880"/>
      </w:tblGrid>
      <w:tr>
        <w:tc>
          <w:tcPr>
            <w:tcW w:type="dxa" w:w="2880"/>
          </w:tcPr>
          <w:p>
            <w:r>
              <w:t>Trade Creditors</w:t>
            </w:r>
          </w:p>
        </w:tc>
        <w:tc>
          <w:tcPr>
            <w:tcW w:type="dxa" w:w="2880"/>
          </w:tcPr>
          <w:p>
            <w:r>
              <w:t>949</w:t>
            </w:r>
          </w:p>
        </w:tc>
        <w:tc>
          <w:tcPr>
            <w:tcW w:type="dxa" w:w="2880"/>
          </w:tcPr>
          <w:p>
            <w:r>
              <w:t>1,031</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