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type="auto" w:w="0"/>
        <w:tblLayout w:type="fixed"/>
        <w:tblLook w:firstColumn="1" w:firstRow="1" w:lastColumn="0" w:lastRow="0" w:noHBand="0" w:noVBand="1" w:val="04A0"/>
      </w:tblPr>
      <w:tblGrid>
        <w:gridCol w:w="4320"/>
        <w:gridCol w:w="4320"/>
      </w:tblGrid>
      <w:tr>
        <w:tc>
          <w:tcPr>
            <w:tcW w:type="dxa" w:w="4320"/>
          </w:tcPr>
          <w:p>
            <w:r>
              <w:t>Company Registration Number</w:t>
            </w:r>
          </w:p>
        </w:tc>
        <w:tc>
          <w:tcPr>
            <w:tcW w:type="dxa" w:w="4320"/>
          </w:tcPr>
          <w:p>
            <w:r>
              <w:t>05750766</w:t>
            </w:r>
          </w:p>
        </w:tc>
      </w:tr>
    </w:tbl>
    <w:p/>
    <w:p>
      <w:r>
        <w:t xml:space="preserve">                                  KEN PRATT (BUILDERS) LIMITED</w:t>
      </w:r>
    </w:p>
    <w:p>
      <w:r>
        <w:t xml:space="preserve">                                              UNAUDITED</w:t>
      </w:r>
    </w:p>
    <w:p>
      <w:r>
        <w:t xml:space="preserve">                                       FINANCIAL STATEMENTS</w:t>
      </w:r>
    </w:p>
    <w:p>
      <w:r>
        <w:t xml:space="preserve">                                              31 MARCH 2018</w:t>
      </w:r>
    </w:p>
    <w:p>
      <w:r>
        <w:t xml:space="preserve">                                                                                                                  7</w:t>
      </w:r>
    </w:p>
    <w:p>
      <w:r>
        <w:t xml:space="preserve">                                                              ArmstrongWatson®</w:t>
      </w:r>
    </w:p>
    <w:p>
      <w:r>
        <w:t xml:space="preserve">                                                                       Accountants &amp; Financial Advisers</w:t>
      </w:r>
    </w:p>
    <w:p>
      <w:r>
        <w:br w:type="page"/>
      </w:r>
    </w:p>
    <w:p>
      <w:r>
        <w:t xml:space="preserve">                                         KEN PRATT (BUILDERS) LIMITED REGISTERED NUMBER: 05750766</w:t>
      </w:r>
    </w:p>
    <w:p>
      <w:r>
        <w:t xml:space="preserve">                                                BALANCE SHEET AS AT 31 MARCH 2018</w:t>
      </w:r>
    </w:p>
    <w:tbl>
      <w:tblPr>
        <w:tblW w:type="auto" w:w="0"/>
        <w:tblLayout w:type="fixed"/>
        <w:tblLook w:firstColumn="1" w:firstRow="1" w:lastColumn="0" w:lastRow="0" w:noHBand="0" w:noVBand="1" w:val="04A0"/>
      </w:tblPr>
      <w:tblGrid>
        <w:gridCol w:w="1440"/>
        <w:gridCol w:w="1440"/>
        <w:gridCol w:w="1440"/>
        <w:gridCol w:w="1440"/>
        <w:gridCol w:w="1440"/>
        <w:gridCol w:w="1440"/>
      </w:tblGrid>
      <w:tr>
        <w:tc>
          <w:tcPr>
            <w:tcW w:type="dxa" w:w="1440"/>
          </w:tcPr>
          <w:p/>
        </w:tc>
        <w:tc>
          <w:tcPr>
            <w:tcW w:type="dxa" w:w="1440"/>
          </w:tcPr>
          <w:p/>
        </w:tc>
        <w:tc>
          <w:tcPr>
            <w:tcW w:type="dxa" w:w="1440"/>
          </w:tcPr>
          <w:p/>
        </w:tc>
        <w:tc>
          <w:tcPr>
            <w:tcW w:type="dxa" w:w="1440"/>
          </w:tcPr>
          <w:p>
            <w:r>
              <w:t>2018</w:t>
            </w:r>
          </w:p>
        </w:tc>
        <w:tc>
          <w:tcPr>
            <w:tcW w:type="dxa" w:w="1440"/>
          </w:tcPr>
          <w:p/>
        </w:tc>
        <w:tc>
          <w:tcPr>
            <w:tcW w:type="dxa" w:w="1440"/>
          </w:tcPr>
          <w:p>
            <w:r>
              <w:t>2017</w:t>
            </w:r>
          </w:p>
        </w:tc>
      </w:tr>
      <w:tr>
        <w:tc>
          <w:tcPr>
            <w:tcW w:type="dxa" w:w="1440"/>
          </w:tcPr>
          <w:p/>
        </w:tc>
        <w:tc>
          <w:tcPr>
            <w:tcW w:type="dxa" w:w="1440"/>
          </w:tcPr>
          <w:p>
            <w:r>
              <w:t>Note</w:t>
            </w:r>
          </w:p>
        </w:tc>
        <w:tc>
          <w:tcPr>
            <w:tcW w:type="dxa" w:w="1440"/>
          </w:tcPr>
          <w:p/>
        </w:tc>
        <w:tc>
          <w:tcPr>
            <w:tcW w:type="dxa" w:w="1440"/>
          </w:tcPr>
          <w:p>
            <w:r>
              <w:t>£</w:t>
            </w:r>
          </w:p>
        </w:tc>
        <w:tc>
          <w:tcPr>
            <w:tcW w:type="dxa" w:w="1440"/>
          </w:tcPr>
          <w:p/>
        </w:tc>
        <w:tc>
          <w:tcPr>
            <w:tcW w:type="dxa" w:w="1440"/>
          </w:tcPr>
          <w:p>
            <w:r>
              <w:t>£</w:t>
            </w:r>
          </w:p>
        </w:tc>
      </w:tr>
      <w:tr>
        <w:tc>
          <w:tcPr>
            <w:tcW w:type="dxa" w:w="1440"/>
          </w:tcPr>
          <w:p>
            <w:r>
              <w:t>Fixed assets</w:t>
            </w:r>
          </w:p>
        </w:tc>
        <w:tc>
          <w:tcPr>
            <w:tcW w:type="dxa" w:w="1440"/>
          </w:tcPr>
          <w:p/>
        </w:tc>
        <w:tc>
          <w:tcPr>
            <w:tcW w:type="dxa" w:w="1440"/>
          </w:tcPr>
          <w:p/>
        </w:tc>
        <w:tc>
          <w:tcPr>
            <w:tcW w:type="dxa" w:w="1440"/>
          </w:tcPr>
          <w:p>
            <w:r>
              <w:t>6,871</w:t>
            </w:r>
          </w:p>
        </w:tc>
        <w:tc>
          <w:tcPr>
            <w:tcW w:type="dxa" w:w="1440"/>
          </w:tcPr>
          <w:p/>
        </w:tc>
        <w:tc>
          <w:tcPr>
            <w:tcW w:type="dxa" w:w="1440"/>
          </w:tcPr>
          <w:p>
            <w:r>
              <w:t>9,108</w:t>
            </w:r>
          </w:p>
        </w:tc>
      </w:tr>
      <w:tr>
        <w:tc>
          <w:tcPr>
            <w:tcW w:type="dxa" w:w="1440"/>
          </w:tcPr>
          <w:p>
            <w:r>
              <w:t>Current assets</w:t>
            </w:r>
          </w:p>
        </w:tc>
        <w:tc>
          <w:tcPr>
            <w:tcW w:type="dxa" w:w="1440"/>
          </w:tcPr>
          <w:p/>
        </w:tc>
        <w:tc>
          <w:tcPr>
            <w:tcW w:type="dxa" w:w="1440"/>
          </w:tcPr>
          <w:p>
            <w:r>
              <w:t>11,037</w:t>
            </w:r>
          </w:p>
        </w:tc>
        <w:tc>
          <w:tcPr>
            <w:tcW w:type="dxa" w:w="1440"/>
          </w:tcPr>
          <w:p/>
        </w:tc>
        <w:tc>
          <w:tcPr>
            <w:tcW w:type="dxa" w:w="1440"/>
          </w:tcPr>
          <w:p>
            <w:r>
              <w:t>13,345</w:t>
            </w:r>
          </w:p>
        </w:tc>
        <w:tc>
          <w:tcPr>
            <w:tcW w:type="dxa" w:w="1440"/>
          </w:tcPr>
          <w:p/>
        </w:tc>
      </w:tr>
      <w:tr>
        <w:tc>
          <w:tcPr>
            <w:tcW w:type="dxa" w:w="1440"/>
          </w:tcPr>
          <w:p>
            <w:r>
              <w:t>Creditors: amounts falling due within one</w:t>
            </w:r>
          </w:p>
        </w:tc>
        <w:tc>
          <w:tcPr>
            <w:tcW w:type="dxa" w:w="1440"/>
          </w:tcPr>
          <w:p/>
        </w:tc>
        <w:tc>
          <w:tcPr>
            <w:tcW w:type="dxa" w:w="1440"/>
          </w:tcPr>
          <w:p/>
        </w:tc>
        <w:tc>
          <w:tcPr>
            <w:tcW w:type="dxa" w:w="1440"/>
          </w:tcPr>
          <w:p/>
        </w:tc>
        <w:tc>
          <w:tcPr>
            <w:tcW w:type="dxa" w:w="1440"/>
          </w:tcPr>
          <w:p/>
        </w:tc>
        <w:tc>
          <w:tcPr>
            <w:tcW w:type="dxa" w:w="1440"/>
          </w:tcPr>
          <w:p/>
        </w:tc>
      </w:tr>
      <w:tr>
        <w:tc>
          <w:tcPr>
            <w:tcW w:type="dxa" w:w="1440"/>
          </w:tcPr>
          <w:p>
            <w:r>
              <w:t>year</w:t>
            </w:r>
          </w:p>
        </w:tc>
        <w:tc>
          <w:tcPr>
            <w:tcW w:type="dxa" w:w="1440"/>
          </w:tcPr>
          <w:p/>
        </w:tc>
        <w:tc>
          <w:tcPr>
            <w:tcW w:type="dxa" w:w="1440"/>
          </w:tcPr>
          <w:p>
            <w:r>
              <w:t>(12,448)</w:t>
            </w:r>
          </w:p>
        </w:tc>
        <w:tc>
          <w:tcPr>
            <w:tcW w:type="dxa" w:w="1440"/>
          </w:tcPr>
          <w:p/>
        </w:tc>
        <w:tc>
          <w:tcPr>
            <w:tcW w:type="dxa" w:w="1440"/>
          </w:tcPr>
          <w:p>
            <w:r>
              <w:t>(12,356)</w:t>
            </w:r>
          </w:p>
        </w:tc>
        <w:tc>
          <w:tcPr>
            <w:tcW w:type="dxa" w:w="1440"/>
          </w:tcPr>
          <w:p/>
        </w:tc>
      </w:tr>
      <w:tr>
        <w:tc>
          <w:tcPr>
            <w:tcW w:type="dxa" w:w="1440"/>
          </w:tcPr>
          <w:p>
            <w:r>
              <w:t>Net current (liabilities)Zassets</w:t>
            </w:r>
          </w:p>
        </w:tc>
        <w:tc>
          <w:tcPr>
            <w:tcW w:type="dxa" w:w="1440"/>
          </w:tcPr>
          <w:p/>
        </w:tc>
        <w:tc>
          <w:tcPr>
            <w:tcW w:type="dxa" w:w="1440"/>
          </w:tcPr>
          <w:p/>
        </w:tc>
        <w:tc>
          <w:tcPr>
            <w:tcW w:type="dxa" w:w="1440"/>
          </w:tcPr>
          <w:p>
            <w:r>
              <w:t>(1,411)</w:t>
            </w:r>
          </w:p>
        </w:tc>
        <w:tc>
          <w:tcPr>
            <w:tcW w:type="dxa" w:w="1440"/>
          </w:tcPr>
          <w:p/>
        </w:tc>
        <w:tc>
          <w:tcPr>
            <w:tcW w:type="dxa" w:w="1440"/>
          </w:tcPr>
          <w:p>
            <w:r>
              <w:t>989</w:t>
            </w:r>
          </w:p>
        </w:tc>
      </w:tr>
      <w:tr>
        <w:tc>
          <w:tcPr>
            <w:tcW w:type="dxa" w:w="1440"/>
          </w:tcPr>
          <w:p>
            <w:r>
              <w:t>Total assets less current liabilities</w:t>
            </w:r>
          </w:p>
        </w:tc>
        <w:tc>
          <w:tcPr>
            <w:tcW w:type="dxa" w:w="1440"/>
          </w:tcPr>
          <w:p/>
        </w:tc>
        <w:tc>
          <w:tcPr>
            <w:tcW w:type="dxa" w:w="1440"/>
          </w:tcPr>
          <w:p/>
        </w:tc>
        <w:tc>
          <w:tcPr>
            <w:tcW w:type="dxa" w:w="1440"/>
          </w:tcPr>
          <w:p>
            <w:r>
              <w:t>5,460</w:t>
            </w:r>
          </w:p>
        </w:tc>
        <w:tc>
          <w:tcPr>
            <w:tcW w:type="dxa" w:w="1440"/>
          </w:tcPr>
          <w:p/>
        </w:tc>
        <w:tc>
          <w:tcPr>
            <w:tcW w:type="dxa" w:w="1440"/>
          </w:tcPr>
          <w:p>
            <w:r>
              <w:t>10,097</w:t>
            </w:r>
          </w:p>
        </w:tc>
      </w:tr>
      <w:tr>
        <w:tc>
          <w:tcPr>
            <w:tcW w:type="dxa" w:w="1440"/>
          </w:tcPr>
          <w:p>
            <w:r>
              <w:t>Creditors: amounts falling due after more</w:t>
            </w:r>
          </w:p>
        </w:tc>
        <w:tc>
          <w:tcPr>
            <w:tcW w:type="dxa" w:w="1440"/>
          </w:tcPr>
          <w:p/>
        </w:tc>
        <w:tc>
          <w:tcPr>
            <w:tcW w:type="dxa" w:w="1440"/>
          </w:tcPr>
          <w:p/>
        </w:tc>
        <w:tc>
          <w:tcPr>
            <w:tcW w:type="dxa" w:w="1440"/>
          </w:tcPr>
          <w:p/>
        </w:tc>
        <w:tc>
          <w:tcPr>
            <w:tcW w:type="dxa" w:w="1440"/>
          </w:tcPr>
          <w:p/>
        </w:tc>
        <w:tc>
          <w:tcPr>
            <w:tcW w:type="dxa" w:w="1440"/>
          </w:tcPr>
          <w:p/>
        </w:tc>
      </w:tr>
      <w:tr>
        <w:tc>
          <w:tcPr>
            <w:tcW w:type="dxa" w:w="1440"/>
          </w:tcPr>
          <w:p>
            <w:r>
              <w:t>than one year</w:t>
            </w:r>
          </w:p>
        </w:tc>
        <w:tc>
          <w:tcPr>
            <w:tcW w:type="dxa" w:w="1440"/>
          </w:tcPr>
          <w:p/>
        </w:tc>
        <w:tc>
          <w:tcPr>
            <w:tcW w:type="dxa" w:w="1440"/>
          </w:tcPr>
          <w:p/>
        </w:tc>
        <w:tc>
          <w:tcPr>
            <w:tcW w:type="dxa" w:w="1440"/>
          </w:tcPr>
          <w:p>
            <w:r>
              <w:t>(2,693)</w:t>
            </w:r>
          </w:p>
        </w:tc>
        <w:tc>
          <w:tcPr>
            <w:tcW w:type="dxa" w:w="1440"/>
          </w:tcPr>
          <w:p/>
        </w:tc>
        <w:tc>
          <w:tcPr>
            <w:tcW w:type="dxa" w:w="1440"/>
          </w:tcPr>
          <w:p>
            <w:r>
              <w:t>(4^862)</w:t>
            </w:r>
          </w:p>
        </w:tc>
      </w:tr>
      <w:tr>
        <w:tc>
          <w:tcPr>
            <w:tcW w:type="dxa" w:w="1440"/>
          </w:tcPr>
          <w:p>
            <w:r>
              <w:t>Net assets</w:t>
            </w:r>
          </w:p>
        </w:tc>
        <w:tc>
          <w:tcPr>
            <w:tcW w:type="dxa" w:w="1440"/>
          </w:tcPr>
          <w:p/>
        </w:tc>
        <w:tc>
          <w:tcPr>
            <w:tcW w:type="dxa" w:w="1440"/>
          </w:tcPr>
          <w:p/>
        </w:tc>
        <w:tc>
          <w:tcPr>
            <w:tcW w:type="dxa" w:w="1440"/>
          </w:tcPr>
          <w:p>
            <w:r>
              <w:t>2,767</w:t>
            </w:r>
          </w:p>
        </w:tc>
        <w:tc>
          <w:tcPr>
            <w:tcW w:type="dxa" w:w="1440"/>
          </w:tcPr>
          <w:p/>
        </w:tc>
        <w:tc>
          <w:tcPr>
            <w:tcW w:type="dxa" w:w="1440"/>
          </w:tcPr>
          <w:p>
            <w:r>
              <w:t>5,235</w:t>
            </w:r>
          </w:p>
        </w:tc>
      </w:tr>
      <w:tr>
        <w:tc>
          <w:tcPr>
            <w:tcW w:type="dxa" w:w="1440"/>
          </w:tcPr>
          <w:p>
            <w:r>
              <w:t>Capital and reserves</w:t>
            </w:r>
          </w:p>
        </w:tc>
        <w:tc>
          <w:tcPr>
            <w:tcW w:type="dxa" w:w="1440"/>
          </w:tcPr>
          <w:p/>
        </w:tc>
        <w:tc>
          <w:tcPr>
            <w:tcW w:type="dxa" w:w="1440"/>
          </w:tcPr>
          <w:p/>
        </w:tc>
        <w:tc>
          <w:tcPr>
            <w:tcW w:type="dxa" w:w="1440"/>
          </w:tcPr>
          <w:p>
            <w:r>
              <w:t>2,767</w:t>
            </w:r>
          </w:p>
        </w:tc>
        <w:tc>
          <w:tcPr>
            <w:tcW w:type="dxa" w:w="1440"/>
          </w:tcPr>
          <w:p/>
        </w:tc>
        <w:tc>
          <w:tcPr>
            <w:tcW w:type="dxa" w:w="1440"/>
          </w:tcPr>
          <w:p>
            <w:r>
              <w:t>5,235</w:t>
            </w:r>
          </w:p>
        </w:tc>
      </w:tr>
    </w:tbl>
    <w:p/>
    <w:p>
      <w:r>
        <w:t xml:space="preserve"> The director considers that the Company is entitled to exemption from audit under section 477 of the Companies Act 2006 and members have not required the Company to obtain an audit for the year in question in accordance with section 476 of Companies Act 2006.</w:t>
      </w:r>
    </w:p>
    <w:p>
      <w:r>
        <w:t xml:space="preserve"> The director acknowledges his responsibilities for complying with the requirements of the Companies Act 2006 with respect to accounting records and the preparation of financial statements.</w:t>
      </w:r>
    </w:p>
    <w:p>
      <w:r>
        <w:t xml:space="preserve"> These financial statements have been prepared in accordance with the provisions available to companies subject to the micro entities' regime in Part 15 of the Companies Act 2006 and FRS 105: The Financial Reporting Standard applicable to the micro-entities Regime.</w:t>
      </w:r>
    </w:p>
    <w:p>
      <w:r>
        <w:t xml:space="preserve"> The financial statements havebeen delivered in accordance with the provisions applicable to companies subject to the small companies regime.</w:t>
      </w:r>
    </w:p>
    <w:p>
      <w:r>
        <w:t xml:space="preserve"> The financial statements were approved and authorised for issue by the board and were signed on its behalf by:</w:t>
      </w:r>
    </w:p>
    <w:p>
      <w:r>
        <w:t xml:space="preserve"> Mr K Pratt Director</w:t>
      </w:r>
    </w:p>
    <w:p>
      <w:r>
        <w:t xml:space="preserve"> Date: 12 JO- i'B The notes on page 2 form part of these financial statements.</w:t>
      </w:r>
    </w:p>
    <w:p>
      <w:r>
        <w:t xml:space="preserve">                                                                                                                Page 1</w:t>
      </w:r>
    </w:p>
    <w:p>
      <w:r>
        <w:br w:type="page"/>
      </w:r>
    </w:p>
    <w:p>
      <w:r>
        <w:t xml:space="preserve">                                       KEN PRATT (BUILDERS) LIMITED REGISTERED NUMBER: 05750766</w:t>
      </w:r>
    </w:p>
    <w:p>
      <w:r>
        <w:t xml:space="preserve"> 1. General information</w:t>
      </w:r>
    </w:p>
    <w:p>
      <w:r>
        <w:t xml:space="preserve">       Ken Pratt (Builders) Limited, is a private company limited by shares, incorporated in England, with the registration number 05750766. The address of its registered office is 33 South Parade, Northallerton, North Yorkshire, DL7 8SG</w:t>
      </w:r>
    </w:p>
    <w:p>
      <w:r>
        <w:t xml:space="preserve"> 2. Employees</w:t>
      </w:r>
    </w:p>
    <w:p>
      <w:r>
        <w:t xml:space="preserve">       The average monthly number of employees, including the director, during the year was as follows:</w:t>
      </w:r>
    </w:p>
    <w:tbl>
      <w:tblPr>
        <w:tblW w:type="auto" w:w="0"/>
        <w:tblLayout w:type="fixed"/>
        <w:tblLook w:firstColumn="1" w:firstRow="1" w:lastColumn="0" w:lastRow="0" w:noHBand="0" w:noVBand="1" w:val="04A0"/>
      </w:tblPr>
      <w:tblGrid>
        <w:gridCol w:w="2880"/>
        <w:gridCol w:w="2880"/>
        <w:gridCol w:w="2880"/>
      </w:tblGrid>
      <w:tr>
        <w:tc>
          <w:tcPr>
            <w:tcW w:type="dxa" w:w="2880"/>
          </w:tcPr>
          <w:p/>
        </w:tc>
        <w:tc>
          <w:tcPr>
            <w:tcW w:type="dxa" w:w="2880"/>
          </w:tcPr>
          <w:p>
            <w:r>
              <w:t>2018</w:t>
            </w:r>
          </w:p>
        </w:tc>
        <w:tc>
          <w:tcPr>
            <w:tcW w:type="dxa" w:w="2880"/>
          </w:tcPr>
          <w:p>
            <w:r>
              <w:t>2017</w:t>
            </w:r>
          </w:p>
        </w:tc>
      </w:tr>
    </w:tbl>
    <w:p/>
    <w:p>
      <w:r>
        <w:t xml:space="preserve">                                                                                                  No. No.</w:t>
      </w:r>
    </w:p>
    <w:tbl>
      <w:tblPr>
        <w:tblW w:type="auto" w:w="0"/>
        <w:tblLayout w:type="fixed"/>
        <w:tblLook w:firstColumn="1" w:firstRow="1" w:lastColumn="0" w:lastRow="0" w:noHBand="0" w:noVBand="1" w:val="04A0"/>
      </w:tblPr>
      <w:tblGrid>
        <w:gridCol w:w="2880"/>
        <w:gridCol w:w="2880"/>
        <w:gridCol w:w="2880"/>
      </w:tblGrid>
      <w:tr>
        <w:tc>
          <w:tcPr>
            <w:tcW w:type="dxa" w:w="2880"/>
          </w:tcPr>
          <w:p>
            <w:r>
              <w:t>Average number of employees</w:t>
            </w:r>
          </w:p>
        </w:tc>
        <w:tc>
          <w:tcPr>
            <w:tcW w:type="dxa" w:w="2880"/>
          </w:tcPr>
          <w:p>
            <w:r>
              <w:t>1</w:t>
            </w:r>
          </w:p>
        </w:tc>
        <w:tc>
          <w:tcPr>
            <w:tcW w:type="dxa" w:w="2880"/>
          </w:tcPr>
          <w:p>
            <w:r>
              <w:t>1</w:t>
            </w:r>
          </w:p>
        </w:tc>
      </w:tr>
    </w:tbl>
    <w:p/>
    <w:p>
      <w:r>
        <w:t xml:space="preserve">                                                                                                                  Page 2</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