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Company Registration No. 09511448 (England and Wales)</w:t>
      </w:r>
    </w:p>
    <w:p>
      <w:r>
        <w:t xml:space="preserve">                  THE CORNER HOUSE MANAGEMENT COMPANY (EPSOM)</w:t>
      </w:r>
    </w:p>
    <w:p>
      <w:r>
        <w:t xml:space="preserve">                                                   LIMITED</w:t>
      </w:r>
    </w:p>
    <w:p>
      <w:r>
        <w:t xml:space="preserve">                               UNAUDITED FINANCIAL STATEMENTS</w:t>
      </w:r>
    </w:p>
    <w:p>
      <w:r>
        <w:t xml:space="preserve">                                         FOR THE YEAR ENDED</w:t>
      </w:r>
    </w:p>
    <w:p>
      <w:r>
        <w:t xml:space="preserve">                                              31 MARCH 2018</w:t>
      </w:r>
    </w:p>
    <w:p>
      <w:r>
        <w:t xml:space="preserve">                               PAGES FOR FILING WITH REGISTRAR</w:t>
      </w:r>
    </w:p>
    <w:p>
      <w:r>
        <w:t xml:space="preserve">                                                                                 ♦L7H2VUDK*</w:t>
      </w:r>
    </w:p>
    <w:tbl>
      <w:tblPr>
        <w:tblW w:type="auto" w:w="0"/>
        <w:tblLayout w:type="fixed"/>
        <w:tblLook w:firstColumn="1" w:firstRow="1" w:lastColumn="0" w:lastRow="0" w:noHBand="0" w:noVBand="1" w:val="04A0"/>
      </w:tblPr>
      <w:tblGrid>
        <w:gridCol w:w="2880"/>
        <w:gridCol w:w="2880"/>
        <w:gridCol w:w="2880"/>
      </w:tblGrid>
      <w:tr>
        <w:tc>
          <w:tcPr>
            <w:tcW w:type="dxa" w:w="2880"/>
          </w:tcPr>
          <w:p>
            <w:r>
              <w:t>LD2</w:t>
            </w:r>
          </w:p>
        </w:tc>
        <w:tc>
          <w:tcPr>
            <w:tcW w:type="dxa" w:w="2880"/>
          </w:tcPr>
          <w:p>
            <w:r>
              <w:t>22/10/2018</w:t>
            </w:r>
          </w:p>
        </w:tc>
        <w:tc>
          <w:tcPr>
            <w:tcW w:type="dxa" w:w="2880"/>
          </w:tcPr>
          <w:p>
            <w:r>
              <w:t>#85</w:t>
            </w:r>
          </w:p>
        </w:tc>
      </w:tr>
    </w:tbl>
    <w:p/>
    <w:p>
      <w:r>
        <w:t xml:space="preserve">                                                                              COMPANIES HOUSE</w:t>
      </w:r>
    </w:p>
    <w:p>
      <w:r>
        <w:br w:type="page"/>
      </w:r>
    </w:p>
    <w:p>
      <w:r>
        <w:t xml:space="preserve">                                                                   Company Registration No. 09511448</w:t>
      </w:r>
    </w:p>
    <w:p>
      <w:r>
        <w:t xml:space="preserve">            THE CORNER HOUSE MANAGEMENT COMPANY (EPSOM) LIMITED</w:t>
      </w:r>
    </w:p>
    <w:p>
      <w:r>
        <w:t xml:space="preserve">            STATEMENT OF FINANCIAL POSITION AS AT 31 MARCH 2018</w:t>
      </w:r>
    </w:p>
    <w:tbl>
      <w:tblPr>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tc>
        <w:tc>
          <w:tcPr>
            <w:tcW w:type="dxa" w:w="1440"/>
          </w:tcPr>
          <w:p/>
        </w:tc>
        <w:tc>
          <w:tcPr>
            <w:tcW w:type="dxa" w:w="1440"/>
          </w:tcPr>
          <w:p>
            <w:r>
              <w:t>2018</w:t>
            </w:r>
          </w:p>
        </w:tc>
        <w:tc>
          <w:tcPr>
            <w:tcW w:type="dxa" w:w="1440"/>
          </w:tcPr>
          <w:p/>
        </w:tc>
        <w:tc>
          <w:tcPr>
            <w:tcW w:type="dxa" w:w="1440"/>
          </w:tcPr>
          <w:p>
            <w:r>
              <w:t>2017</w:t>
            </w:r>
          </w:p>
        </w:tc>
        <w:tc>
          <w:tcPr>
            <w:tcW w:type="dxa" w:w="1440"/>
          </w:tcPr>
          <w:p/>
        </w:tc>
      </w:tr>
      <w:tr>
        <w:tc>
          <w:tcPr>
            <w:tcW w:type="dxa" w:w="1440"/>
          </w:tcPr>
          <w:p/>
        </w:tc>
        <w:tc>
          <w:tcPr>
            <w:tcW w:type="dxa" w:w="1440"/>
          </w:tcPr>
          <w:p>
            <w:r>
              <w:t>Notes</w:t>
            </w:r>
          </w:p>
        </w:tc>
        <w:tc>
          <w:tcPr>
            <w:tcW w:type="dxa" w:w="1440"/>
          </w:tcPr>
          <w:p>
            <w:r>
              <w:t>£</w:t>
            </w:r>
          </w:p>
        </w:tc>
        <w:tc>
          <w:tcPr>
            <w:tcW w:type="dxa" w:w="1440"/>
          </w:tcPr>
          <w:p/>
        </w:tc>
        <w:tc>
          <w:tcPr>
            <w:tcW w:type="dxa" w:w="1440"/>
          </w:tcPr>
          <w:p>
            <w:r>
              <w:t>£</w:t>
            </w:r>
          </w:p>
        </w:tc>
        <w:tc>
          <w:tcPr>
            <w:tcW w:type="dxa" w:w="1440"/>
          </w:tcPr>
          <w:p/>
        </w:tc>
      </w:tr>
      <w:tr>
        <w:tc>
          <w:tcPr>
            <w:tcW w:type="dxa" w:w="1440"/>
          </w:tcPr>
          <w:p>
            <w:r>
              <w:t>Current assets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Other debtors</w:t>
            </w:r>
          </w:p>
        </w:tc>
        <w:tc>
          <w:tcPr>
            <w:tcW w:type="dxa" w:w="1440"/>
          </w:tcPr>
          <w:p/>
        </w:tc>
        <w:tc>
          <w:tcPr>
            <w:tcW w:type="dxa" w:w="1440"/>
          </w:tcPr>
          <w:p>
            <w:r>
              <w:t>12</w:t>
            </w:r>
          </w:p>
        </w:tc>
        <w:tc>
          <w:tcPr>
            <w:tcW w:type="dxa" w:w="1440"/>
          </w:tcPr>
          <w:p/>
        </w:tc>
        <w:tc>
          <w:tcPr>
            <w:tcW w:type="dxa" w:w="1440"/>
          </w:tcPr>
          <w:p>
            <w:r>
              <w:t>12</w:t>
            </w:r>
          </w:p>
        </w:tc>
        <w:tc>
          <w:tcPr>
            <w:tcW w:type="dxa" w:w="1440"/>
          </w:tcPr>
          <w:p/>
        </w:tc>
      </w:tr>
      <w:tr>
        <w:tc>
          <w:tcPr>
            <w:tcW w:type="dxa" w:w="1440"/>
          </w:tcPr>
          <w:p>
            <w:r>
              <w:t>Net current assets</w:t>
            </w:r>
          </w:p>
        </w:tc>
        <w:tc>
          <w:tcPr>
            <w:tcW w:type="dxa" w:w="1440"/>
          </w:tcPr>
          <w:p/>
        </w:tc>
        <w:tc>
          <w:tcPr>
            <w:tcW w:type="dxa" w:w="1440"/>
          </w:tcPr>
          <w:p/>
        </w:tc>
        <w:tc>
          <w:tcPr>
            <w:tcW w:type="dxa" w:w="1440"/>
          </w:tcPr>
          <w:p>
            <w:r>
              <w:t>12</w:t>
            </w:r>
          </w:p>
        </w:tc>
        <w:tc>
          <w:tcPr>
            <w:tcW w:type="dxa" w:w="1440"/>
          </w:tcPr>
          <w:p/>
        </w:tc>
        <w:tc>
          <w:tcPr>
            <w:tcW w:type="dxa" w:w="1440"/>
          </w:tcPr>
          <w:p>
            <w:r>
              <w:t>12</w:t>
            </w:r>
          </w:p>
        </w:tc>
      </w:tr>
      <w:tr>
        <w:tc>
          <w:tcPr>
            <w:tcW w:type="dxa" w:w="1440"/>
          </w:tcPr>
          <w:p>
            <w:r>
              <w:t>Capital and reserves</w:t>
            </w:r>
          </w:p>
        </w:tc>
        <w:tc>
          <w:tcPr>
            <w:tcW w:type="dxa" w:w="1440"/>
          </w:tcPr>
          <w:p/>
        </w:tc>
        <w:tc>
          <w:tcPr>
            <w:tcW w:type="dxa" w:w="1440"/>
          </w:tcPr>
          <w:p/>
        </w:tc>
        <w:tc>
          <w:tcPr>
            <w:tcW w:type="dxa" w:w="1440"/>
          </w:tcPr>
          <w:p/>
        </w:tc>
        <w:tc>
          <w:tcPr>
            <w:tcW w:type="dxa" w:w="1440"/>
          </w:tcPr>
          <w:p/>
        </w:tc>
        <w:tc>
          <w:tcPr>
            <w:tcW w:type="dxa" w:w="1440"/>
          </w:tcPr>
          <w:p/>
        </w:tc>
      </w:tr>
      <w:tr>
        <w:tc>
          <w:tcPr>
            <w:tcW w:type="dxa" w:w="1440"/>
          </w:tcPr>
          <w:p>
            <w:r>
              <w:t>Called up share capital</w:t>
            </w:r>
          </w:p>
        </w:tc>
        <w:tc>
          <w:tcPr>
            <w:tcW w:type="dxa" w:w="1440"/>
          </w:tcPr>
          <w:p>
            <w:r>
              <w:t>2</w:t>
            </w:r>
          </w:p>
        </w:tc>
        <w:tc>
          <w:tcPr>
            <w:tcW w:type="dxa" w:w="1440"/>
          </w:tcPr>
          <w:p/>
        </w:tc>
        <w:tc>
          <w:tcPr>
            <w:tcW w:type="dxa" w:w="1440"/>
          </w:tcPr>
          <w:p>
            <w:r>
              <w:t>12</w:t>
            </w:r>
          </w:p>
        </w:tc>
        <w:tc>
          <w:tcPr>
            <w:tcW w:type="dxa" w:w="1440"/>
          </w:tcPr>
          <w:p/>
        </w:tc>
        <w:tc>
          <w:tcPr>
            <w:tcW w:type="dxa" w:w="1440"/>
          </w:tcPr>
          <w:p>
            <w:r>
              <w:t>12</w:t>
            </w:r>
          </w:p>
        </w:tc>
      </w:tr>
    </w:tbl>
    <w:p/>
    <w:p>
      <w:r>
        <w:t xml:space="preserve">            For the financial year ended 31 March 2018 the company was entitled to exemption from audit under section 480 of the Companies Act 2006 relating to dormant companies and its members have not required the company to obtain an audit of its financial statements for the year in question in accordance with section 476.</w:t>
      </w:r>
    </w:p>
    <w:p>
      <w:r>
        <w:t xml:space="preserve">            The directors acknowledge their responsibilities for complying with the requirements of Companies Act 2006 with respect to accounting records and the preparation of financial statements.</w:t>
      </w:r>
    </w:p>
    <w:p>
      <w:r>
        <w:t xml:space="preserve">            These financial statements have been prepared in accordance with the provisions applicable to companies subject to the small companies’ regime.</w:t>
      </w:r>
    </w:p>
    <w:p>
      <w:r>
        <w:br w:type="page"/>
      </w:r>
    </w:p>
    <w:p>
      <w:r>
        <w:t xml:space="preserve">           THE CORNER HOUSE MANAGEMENT COMPANY (EPSOM) LIMITED</w:t>
      </w:r>
    </w:p>
    <w:p>
      <w:r>
        <w:t xml:space="preserve">           NOTES TO THE FINANCIAL STATEMENTS FOR THE YEAR ENDED 31 MARCH 2018</w:t>
      </w:r>
    </w:p>
    <w:p>
      <w:r>
        <w:t xml:space="preserve">           1 Accounting policies</w:t>
      </w:r>
    </w:p>
    <w:p>
      <w:r>
        <w:t xml:space="preserve">               Company information The Comer House Management Company (Epsom) Limited is a private company limited by shares incorporated in England and Wales. The registered office is 6,h floor, 25 Faningdon street, London, EC4A 4AB.</w:t>
      </w:r>
    </w:p>
    <w:p>
      <w:r>
        <w:t xml:space="preserve">               Accounting convention These financial statements have been prepared in accordance with FRS 102 section 1A "The Financial Reporting Standard applicable in the UK and Republic of Ireland” (“FRS 102”) and the requirements of the Companies Act 2006, as applicable to companies subject to the small companies' regime. The disclosure requirements of section 1A of FRS 102 have been applied other than where additional disclosure is required to show a true and fair view.</w:t>
      </w:r>
    </w:p>
    <w:p>
      <w:r>
        <w:t xml:space="preserve">               The financial statements are prepared in sterling, which is the functional currency of the company. Monetary amounts in these financial statements are rounded to the nearest £.</w:t>
      </w:r>
    </w:p>
    <w:p>
      <w:r>
        <w:t xml:space="preserve">               The financial statements have been prepared under the historic cost convention. The principal accounting policies adopted are set out below.</w:t>
      </w:r>
    </w:p>
    <w:p>
      <w:r>
        <w:t xml:space="preserve">               Going concern At the time of approving the financial statements, the director has a reasonable expectation that the company has adequate resources to continue in operational existence for the foreseeable future. Thus the director continues to adopt the going concern basis of accounting in preparing the financial statements.</w:t>
      </w:r>
    </w:p>
    <w:p>
      <w:r>
        <w:t xml:space="preserve">               Profit and loss account The company has not traded during the year. During this time the company received no income and incurred no expenditure and therefore no Profit and loss account is presented in these financial statements.</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r>
              <w:t>2</w:t>
            </w:r>
          </w:p>
        </w:tc>
        <w:tc>
          <w:tcPr>
            <w:tcW w:type="dxa" w:w="2160"/>
          </w:tcPr>
          <w:p>
            <w:r>
              <w:t>Called up share capital</w:t>
            </w:r>
          </w:p>
        </w:tc>
        <w:tc>
          <w:tcPr>
            <w:tcW w:type="dxa" w:w="2160"/>
          </w:tcPr>
          <w:p>
            <w:r>
              <w:t>2017</w:t>
            </w:r>
          </w:p>
        </w:tc>
        <w:tc>
          <w:tcPr>
            <w:tcW w:type="dxa" w:w="2160"/>
          </w:tcPr>
          <w:p>
            <w:r>
              <w:t>2016</w:t>
            </w:r>
          </w:p>
        </w:tc>
      </w:tr>
      <w:tr>
        <w:tc>
          <w:tcPr>
            <w:tcW w:type="dxa" w:w="2160"/>
          </w:tcPr>
          <w:p/>
        </w:tc>
        <w:tc>
          <w:tcPr>
            <w:tcW w:type="dxa" w:w="2160"/>
          </w:tcPr>
          <w:p/>
        </w:tc>
        <w:tc>
          <w:tcPr>
            <w:tcW w:type="dxa" w:w="2160"/>
          </w:tcPr>
          <w:p>
            <w:r>
              <w:t>£</w:t>
            </w:r>
          </w:p>
        </w:tc>
        <w:tc>
          <w:tcPr>
            <w:tcW w:type="dxa" w:w="2160"/>
          </w:tcPr>
          <w:p>
            <w:r>
              <w:t>£</w:t>
            </w:r>
          </w:p>
        </w:tc>
      </w:tr>
      <w:tr>
        <w:tc>
          <w:tcPr>
            <w:tcW w:type="dxa" w:w="2160"/>
          </w:tcPr>
          <w:p/>
        </w:tc>
        <w:tc>
          <w:tcPr>
            <w:tcW w:type="dxa" w:w="2160"/>
          </w:tcPr>
          <w:p>
            <w:r>
              <w:t>Allotted and called up</w:t>
            </w:r>
          </w:p>
        </w:tc>
        <w:tc>
          <w:tcPr>
            <w:tcW w:type="dxa" w:w="2160"/>
          </w:tcPr>
          <w:p/>
        </w:tc>
        <w:tc>
          <w:tcPr>
            <w:tcW w:type="dxa" w:w="2160"/>
          </w:tcPr>
          <w:p/>
        </w:tc>
      </w:tr>
      <w:tr>
        <w:tc>
          <w:tcPr>
            <w:tcW w:type="dxa" w:w="2160"/>
          </w:tcPr>
          <w:p/>
        </w:tc>
        <w:tc>
          <w:tcPr>
            <w:tcW w:type="dxa" w:w="2160"/>
          </w:tcPr>
          <w:p>
            <w:r>
              <w:t>12 Ordinary Shares of £1 each</w:t>
            </w:r>
          </w:p>
        </w:tc>
        <w:tc>
          <w:tcPr>
            <w:tcW w:type="dxa" w:w="2160"/>
          </w:tcPr>
          <w:p>
            <w:r>
              <w:t>12</w:t>
            </w:r>
          </w:p>
        </w:tc>
        <w:tc>
          <w:tcPr>
            <w:tcW w:type="dxa" w:w="2160"/>
          </w:tcPr>
          <w:p>
            <w:r>
              <w:t>12</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