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w:t>
      </w:r>
    </w:p>
    <w:p>
      <w:r>
        <w:t xml:space="preserve">                                                                                                   OC359676</w:t>
      </w:r>
    </w:p>
    <w:p>
      <w:r>
        <w:t xml:space="preserve">                                          DANHSON LLP</w:t>
      </w:r>
    </w:p>
    <w:p>
      <w:r>
        <w:t xml:space="preserve">                                          Filleted Accounts</w:t>
      </w:r>
    </w:p>
    <w:p>
      <w:r>
        <w:t xml:space="preserve">                                          30 November 2017</w:t>
      </w:r>
    </w:p>
    <w:p>
      <w:r>
        <w:br w:type="page"/>
      </w:r>
    </w:p>
    <w:p>
      <w:r>
        <w:t xml:space="preserve">      DANHSON LLP Registered number: OC359676</w:t>
      </w:r>
    </w:p>
    <w:p>
      <w:r>
        <w:t xml:space="preserve">      Balance Sheet as at 30 November 2017</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Notes</w:t>
            </w:r>
          </w:p>
        </w:tc>
        <w:tc>
          <w:tcPr>
            <w:tcW w:type="dxa" w:w="2160"/>
          </w:tcPr>
          <w:p>
            <w:r>
              <w:t>2017</w:t>
            </w:r>
          </w:p>
        </w:tc>
        <w:tc>
          <w:tcPr>
            <w:tcW w:type="dxa" w:w="2160"/>
          </w:tcPr>
          <w:p>
            <w:r>
              <w:t>2016</w:t>
            </w:r>
          </w:p>
        </w:tc>
      </w:tr>
      <w:tr>
        <w:tc>
          <w:tcPr>
            <w:tcW w:type="dxa" w:w="2160"/>
          </w:tcPr>
          <w:p/>
        </w:tc>
        <w:tc>
          <w:tcPr>
            <w:tcW w:type="dxa" w:w="2160"/>
          </w:tcPr>
          <w:p/>
        </w:tc>
        <w:tc>
          <w:tcPr>
            <w:tcW w:type="dxa" w:w="2160"/>
          </w:tcPr>
          <w:p>
            <w:r>
              <w:t>£</w:t>
            </w:r>
          </w:p>
        </w:tc>
        <w:tc>
          <w:tcPr>
            <w:tcW w:type="dxa" w:w="2160"/>
          </w:tcPr>
          <w:p>
            <w:r>
              <w:t>£</w:t>
            </w:r>
          </w:p>
        </w:tc>
      </w:tr>
      <w:tr>
        <w:tc>
          <w:tcPr>
            <w:tcW w:type="dxa" w:w="2160"/>
          </w:tcPr>
          <w:p>
            <w:r>
              <w:t>Current assets</w:t>
            </w:r>
          </w:p>
        </w:tc>
        <w:tc>
          <w:tcPr>
            <w:tcW w:type="dxa" w:w="2160"/>
          </w:tcPr>
          <w:p/>
        </w:tc>
        <w:tc>
          <w:tcPr>
            <w:tcW w:type="dxa" w:w="2160"/>
          </w:tcPr>
          <w:p/>
        </w:tc>
        <w:tc>
          <w:tcPr>
            <w:tcW w:type="dxa" w:w="2160"/>
          </w:tcPr>
          <w:p/>
        </w:tc>
      </w:tr>
      <w:tr>
        <w:tc>
          <w:tcPr>
            <w:tcW w:type="dxa" w:w="2160"/>
          </w:tcPr>
          <w:p>
            <w:r>
              <w:t>Debtors</w:t>
            </w:r>
          </w:p>
        </w:tc>
        <w:tc>
          <w:tcPr>
            <w:tcW w:type="dxa" w:w="2160"/>
          </w:tcPr>
          <w:p>
            <w:r>
              <w:t>2</w:t>
            </w:r>
          </w:p>
        </w:tc>
        <w:tc>
          <w:tcPr>
            <w:tcW w:type="dxa" w:w="2160"/>
          </w:tcPr>
          <w:p>
            <w:r>
              <w:t>352,027</w:t>
            </w:r>
          </w:p>
        </w:tc>
        <w:tc>
          <w:tcPr>
            <w:tcW w:type="dxa" w:w="2160"/>
          </w:tcPr>
          <w:p>
            <w:r>
              <w:t>338,593</w:t>
            </w:r>
          </w:p>
        </w:tc>
      </w:tr>
      <w:tr>
        <w:tc>
          <w:tcPr>
            <w:tcW w:type="dxa" w:w="2160"/>
          </w:tcPr>
          <w:p>
            <w:r>
              <w:t>Cash at bank and in hand</w:t>
            </w:r>
          </w:p>
        </w:tc>
        <w:tc>
          <w:tcPr>
            <w:tcW w:type="dxa" w:w="2160"/>
          </w:tcPr>
          <w:p/>
        </w:tc>
        <w:tc>
          <w:tcPr>
            <w:tcW w:type="dxa" w:w="2160"/>
          </w:tcPr>
          <w:p>
            <w:r>
              <w:t>84,590</w:t>
            </w:r>
          </w:p>
        </w:tc>
        <w:tc>
          <w:tcPr>
            <w:tcW w:type="dxa" w:w="2160"/>
          </w:tcPr>
          <w:p>
            <w:r>
              <w:t>23,203</w:t>
            </w:r>
          </w:p>
        </w:tc>
      </w:tr>
      <w:tr>
        <w:tc>
          <w:tcPr>
            <w:tcW w:type="dxa" w:w="2160"/>
          </w:tcPr>
          <w:p/>
        </w:tc>
        <w:tc>
          <w:tcPr>
            <w:tcW w:type="dxa" w:w="2160"/>
          </w:tcPr>
          <w:p/>
        </w:tc>
        <w:tc>
          <w:tcPr>
            <w:tcW w:type="dxa" w:w="2160"/>
          </w:tcPr>
          <w:p>
            <w:r>
              <w:t>436,617</w:t>
            </w:r>
          </w:p>
        </w:tc>
        <w:tc>
          <w:tcPr>
            <w:tcW w:type="dxa" w:w="2160"/>
          </w:tcPr>
          <w:p>
            <w:r>
              <w:t>361,796</w:t>
            </w:r>
          </w:p>
        </w:tc>
      </w:tr>
      <w:tr>
        <w:tc>
          <w:tcPr>
            <w:tcW w:type="dxa" w:w="2160"/>
          </w:tcPr>
          <w:p>
            <w:r>
              <w:t>Creditors: amounts falling due within one year</w:t>
            </w:r>
          </w:p>
        </w:tc>
        <w:tc>
          <w:tcPr>
            <w:tcW w:type="dxa" w:w="2160"/>
          </w:tcPr>
          <w:p>
            <w:r>
              <w:t>3</w:t>
            </w:r>
          </w:p>
        </w:tc>
        <w:tc>
          <w:tcPr>
            <w:tcW w:type="dxa" w:w="2160"/>
          </w:tcPr>
          <w:p>
            <w:r>
              <w:t>(85,554)</w:t>
            </w:r>
          </w:p>
        </w:tc>
        <w:tc>
          <w:tcPr>
            <w:tcW w:type="dxa" w:w="2160"/>
          </w:tcPr>
          <w:p>
            <w:r>
              <w:t>(293,589)</w:t>
            </w:r>
          </w:p>
        </w:tc>
      </w:tr>
      <w:tr>
        <w:tc>
          <w:tcPr>
            <w:tcW w:type="dxa" w:w="2160"/>
          </w:tcPr>
          <w:p>
            <w:r>
              <w:t>Net current assets</w:t>
            </w:r>
          </w:p>
        </w:tc>
        <w:tc>
          <w:tcPr>
            <w:tcW w:type="dxa" w:w="2160"/>
          </w:tcPr>
          <w:p/>
        </w:tc>
        <w:tc>
          <w:tcPr>
            <w:tcW w:type="dxa" w:w="2160"/>
          </w:tcPr>
          <w:p>
            <w:r>
              <w:t>351,063</w:t>
            </w:r>
          </w:p>
        </w:tc>
        <w:tc>
          <w:tcPr>
            <w:tcW w:type="dxa" w:w="2160"/>
          </w:tcPr>
          <w:p>
            <w:r>
              <w:t>68,207</w:t>
            </w:r>
          </w:p>
        </w:tc>
      </w:tr>
      <w:tr>
        <w:tc>
          <w:tcPr>
            <w:tcW w:type="dxa" w:w="2160"/>
          </w:tcPr>
          <w:p>
            <w:r>
              <w:t>Total assets less current liabilities</w:t>
            </w:r>
          </w:p>
        </w:tc>
        <w:tc>
          <w:tcPr>
            <w:tcW w:type="dxa" w:w="2160"/>
          </w:tcPr>
          <w:p/>
        </w:tc>
        <w:tc>
          <w:tcPr>
            <w:tcW w:type="dxa" w:w="2160"/>
          </w:tcPr>
          <w:p>
            <w:r>
              <w:t>351,063</w:t>
            </w:r>
          </w:p>
        </w:tc>
        <w:tc>
          <w:tcPr>
            <w:tcW w:type="dxa" w:w="2160"/>
          </w:tcPr>
          <w:p>
            <w:r>
              <w:t>68,207</w:t>
            </w:r>
          </w:p>
        </w:tc>
      </w:tr>
      <w:tr>
        <w:tc>
          <w:tcPr>
            <w:tcW w:type="dxa" w:w="2160"/>
          </w:tcPr>
          <w:p>
            <w:r>
              <w:t>Net assets attributable to members</w:t>
            </w:r>
          </w:p>
        </w:tc>
        <w:tc>
          <w:tcPr>
            <w:tcW w:type="dxa" w:w="2160"/>
          </w:tcPr>
          <w:p/>
        </w:tc>
        <w:tc>
          <w:tcPr>
            <w:tcW w:type="dxa" w:w="2160"/>
          </w:tcPr>
          <w:p>
            <w:r>
              <w:t>351,063</w:t>
            </w:r>
          </w:p>
        </w:tc>
        <w:tc>
          <w:tcPr>
            <w:tcW w:type="dxa" w:w="2160"/>
          </w:tcPr>
          <w:p>
            <w:r>
              <w:t>68,207</w:t>
            </w:r>
          </w:p>
        </w:tc>
      </w:tr>
    </w:tbl>
    <w:p/>
    <w:p>
      <w:r>
        <w:t xml:space="preserve">      Represented by:</w:t>
      </w:r>
    </w:p>
    <w:p>
      <w:r>
        <w:t xml:space="preserve">      Members' other interests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r>
              <w:t>Members' capital classified as equity</w:t>
            </w:r>
          </w:p>
        </w:tc>
        <w:tc>
          <w:tcPr>
            <w:tcW w:type="dxa" w:w="2160"/>
          </w:tcPr>
          <w:p/>
        </w:tc>
        <w:tc>
          <w:tcPr>
            <w:tcW w:type="dxa" w:w="2160"/>
          </w:tcPr>
          <w:p>
            <w:r>
              <w:t>1,000</w:t>
            </w:r>
          </w:p>
        </w:tc>
        <w:tc>
          <w:tcPr>
            <w:tcW w:type="dxa" w:w="2160"/>
          </w:tcPr>
          <w:p>
            <w:r>
              <w:t>1,000</w:t>
            </w:r>
          </w:p>
        </w:tc>
      </w:tr>
      <w:tr>
        <w:tc>
          <w:tcPr>
            <w:tcW w:type="dxa" w:w="2160"/>
          </w:tcPr>
          <w:p>
            <w:r>
              <w:t>Other reserves</w:t>
            </w:r>
          </w:p>
        </w:tc>
        <w:tc>
          <w:tcPr>
            <w:tcW w:type="dxa" w:w="2160"/>
          </w:tcPr>
          <w:p/>
        </w:tc>
        <w:tc>
          <w:tcPr>
            <w:tcW w:type="dxa" w:w="2160"/>
          </w:tcPr>
          <w:p>
            <w:r>
              <w:t>350,063</w:t>
            </w:r>
          </w:p>
        </w:tc>
        <w:tc>
          <w:tcPr>
            <w:tcW w:type="dxa" w:w="2160"/>
          </w:tcPr>
          <w:p>
            <w:r>
              <w:t>67.207</w:t>
            </w:r>
          </w:p>
        </w:tc>
      </w:tr>
      <w:tr>
        <w:tc>
          <w:tcPr>
            <w:tcW w:type="dxa" w:w="2160"/>
          </w:tcPr>
          <w:p/>
        </w:tc>
        <w:tc>
          <w:tcPr>
            <w:tcW w:type="dxa" w:w="2160"/>
          </w:tcPr>
          <w:p/>
        </w:tc>
        <w:tc>
          <w:tcPr>
            <w:tcW w:type="dxa" w:w="2160"/>
          </w:tcPr>
          <w:p>
            <w:r>
              <w:t>351,063</w:t>
            </w:r>
          </w:p>
        </w:tc>
        <w:tc>
          <w:tcPr>
            <w:tcW w:type="dxa" w:w="2160"/>
          </w:tcPr>
          <w:p>
            <w:r>
              <w:t>68.207</w:t>
            </w:r>
          </w:p>
        </w:tc>
      </w:tr>
      <w:tr>
        <w:tc>
          <w:tcPr>
            <w:tcW w:type="dxa" w:w="2160"/>
          </w:tcPr>
          <w:p/>
        </w:tc>
        <w:tc>
          <w:tcPr>
            <w:tcW w:type="dxa" w:w="2160"/>
          </w:tcPr>
          <w:p/>
        </w:tc>
        <w:tc>
          <w:tcPr>
            <w:tcW w:type="dxa" w:w="2160"/>
          </w:tcPr>
          <w:p>
            <w:r>
              <w:t>351,063</w:t>
            </w:r>
          </w:p>
        </w:tc>
        <w:tc>
          <w:tcPr>
            <w:tcW w:type="dxa" w:w="2160"/>
          </w:tcPr>
          <w:p>
            <w:r>
              <w:t>68,207</w:t>
            </w:r>
          </w:p>
        </w:tc>
      </w:tr>
      <w:tr>
        <w:tc>
          <w:tcPr>
            <w:tcW w:type="dxa" w:w="2160"/>
          </w:tcPr>
          <w:p>
            <w:r>
              <w:t>Total members' interests</w:t>
            </w:r>
          </w:p>
        </w:tc>
        <w:tc>
          <w:tcPr>
            <w:tcW w:type="dxa" w:w="2160"/>
          </w:tcPr>
          <w:p/>
        </w:tc>
        <w:tc>
          <w:tcPr>
            <w:tcW w:type="dxa" w:w="2160"/>
          </w:tcPr>
          <w:p/>
        </w:tc>
        <w:tc>
          <w:tcPr>
            <w:tcW w:type="dxa" w:w="2160"/>
          </w:tcPr>
          <w:p/>
        </w:tc>
      </w:tr>
      <w:tr>
        <w:tc>
          <w:tcPr>
            <w:tcW w:type="dxa" w:w="2160"/>
          </w:tcPr>
          <w:p>
            <w:r>
              <w:t>Members' other interests</w:t>
            </w:r>
          </w:p>
        </w:tc>
        <w:tc>
          <w:tcPr>
            <w:tcW w:type="dxa" w:w="2160"/>
          </w:tcPr>
          <w:p/>
        </w:tc>
        <w:tc>
          <w:tcPr>
            <w:tcW w:type="dxa" w:w="2160"/>
          </w:tcPr>
          <w:p>
            <w:r>
              <w:t>351,063</w:t>
            </w:r>
          </w:p>
        </w:tc>
        <w:tc>
          <w:tcPr>
            <w:tcW w:type="dxa" w:w="2160"/>
          </w:tcPr>
          <w:p>
            <w:r>
              <w:t>68,207</w:t>
            </w:r>
          </w:p>
        </w:tc>
      </w:tr>
      <w:tr>
        <w:tc>
          <w:tcPr>
            <w:tcW w:type="dxa" w:w="2160"/>
          </w:tcPr>
          <w:p/>
        </w:tc>
        <w:tc>
          <w:tcPr>
            <w:tcW w:type="dxa" w:w="2160"/>
          </w:tcPr>
          <w:p/>
        </w:tc>
        <w:tc>
          <w:tcPr>
            <w:tcW w:type="dxa" w:w="2160"/>
          </w:tcPr>
          <w:p>
            <w:r>
              <w:t>351,063</w:t>
            </w:r>
          </w:p>
        </w:tc>
        <w:tc>
          <w:tcPr>
            <w:tcW w:type="dxa" w:w="2160"/>
          </w:tcPr>
          <w:p>
            <w:r>
              <w:t>68,207</w:t>
            </w:r>
          </w:p>
        </w:tc>
      </w:tr>
    </w:tbl>
    <w:p/>
    <w:p>
      <w:r>
        <w:t xml:space="preserve">      For the year ended 30 November 2017 the LLP was entitled to exemption from audit under section 477 of the Companies Act 2006 (as applied to LLPs).</w:t>
      </w:r>
    </w:p>
    <w:p>
      <w:r>
        <w:t xml:space="preserve">      The members acknowledge their responsibilities for complying with the requirements of the Companies Act 2006 (as applied to LLPs) with respect to accounting records and the preparation of accounts.</w:t>
      </w:r>
    </w:p>
    <w:p>
      <w:r>
        <w:t xml:space="preserve">      The accounts have been prepared and delivered in accordance with the provisions applicable to LLPs subject to the small LLPs regime. The profit and loss account has not been delivered to the Registrar of Companies.</w:t>
      </w:r>
    </w:p>
    <w:p>
      <w:r>
        <w:t xml:space="preserve">      These accounts were approved by the members on 16 October 2018 and signed on their behalf by:</w:t>
      </w:r>
    </w:p>
    <w:p>
      <w:r>
        <w:br w:type="page"/>
      </w:r>
    </w:p>
    <w:p>
      <w:r>
        <w:t xml:space="preserve"> DANHSON LLP Notes to the Accounts for the year ended 30 November 2017</w:t>
      </w:r>
    </w:p>
    <w:p>
      <w:r>
        <w:t xml:space="preserve"> 1 Accounting policies</w:t>
      </w:r>
    </w:p>
    <w:p>
      <w:r>
        <w:t xml:space="preserve">      Basis of preparation The accounts have been prepared under the historical cost convention and in accordance with FRS 102, The Financial Reporting Standard applicable in the UK and Republic of Ireland (as applied to small entities by section 1A of the standard) and the Statement of Recommended Practice (SORP), Accounting by Limited Liability Partnerships.</w:t>
      </w:r>
    </w:p>
    <w:p>
      <w:r>
        <w:t xml:space="preserve">      Turnover Turnover is measured at the fair value of the consideration received or receivable, net of discounts and value added taxes. Turnover includes revenue earned from the sale of goods and from the rendering of services. Turnover from the sale of goods is recognised when the significant risks and rewards of ownership of the goods have transferred to the buyer. Turnover from the rendering of services is recognised by reference to the stage of completion of the contract. The stage of completion of a contract is measured by comparing the costs incurred for work performed to date to the total estimated contract costs.</w:t>
      </w:r>
    </w:p>
    <w:p>
      <w:r>
        <w:t xml:space="preserve">      Foreign currency translation Transactions in foreign currencies are initially recognised at the rate of exchange ruling at the date of the transaction. At the end of each reporting period foreign currency monetary items are translated at the closing rate of exchange. Non-monetary items that are measured at historical cost are translated at the rate ruling at the date of the transaction. All differences are charged to profit or loss.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2017</w:t>
            </w:r>
          </w:p>
        </w:tc>
        <w:tc>
          <w:tcPr>
            <w:tcW w:type="dxa" w:w="2880"/>
          </w:tcPr>
          <w:p>
            <w:r>
              <w:t>2016</w:t>
            </w:r>
          </w:p>
        </w:tc>
      </w:tr>
      <w:tr>
        <w:tc>
          <w:tcPr>
            <w:tcW w:type="dxa" w:w="2880"/>
          </w:tcPr>
          <w:p/>
        </w:tc>
        <w:tc>
          <w:tcPr>
            <w:tcW w:type="dxa" w:w="2880"/>
          </w:tcPr>
          <w:p>
            <w:r>
              <w:t>£</w:t>
            </w:r>
          </w:p>
        </w:tc>
        <w:tc>
          <w:tcPr>
            <w:tcW w:type="dxa" w:w="2880"/>
          </w:tcPr>
          <w:p>
            <w:r>
              <w:t>£</w:t>
            </w:r>
          </w:p>
        </w:tc>
      </w:tr>
      <w:tr>
        <w:tc>
          <w:tcPr>
            <w:tcW w:type="dxa" w:w="2880"/>
          </w:tcPr>
          <w:p>
            <w:r>
              <w:t>Trade debtors</w:t>
            </w:r>
          </w:p>
        </w:tc>
        <w:tc>
          <w:tcPr>
            <w:tcW w:type="dxa" w:w="2880"/>
          </w:tcPr>
          <w:p>
            <w:r>
              <w:t>352,027</w:t>
            </w:r>
          </w:p>
        </w:tc>
        <w:tc>
          <w:tcPr>
            <w:tcW w:type="dxa" w:w="2880"/>
          </w:tcPr>
          <w:p>
            <w:r>
              <w:t>338,593</w:t>
            </w:r>
          </w:p>
        </w:tc>
      </w:tr>
      <w:tr>
        <w:tc>
          <w:tcPr>
            <w:tcW w:type="dxa" w:w="2880"/>
          </w:tcPr>
          <w:p>
            <w:r>
              <w:t>Creditors: amounts falling due within one year</w:t>
            </w:r>
          </w:p>
        </w:tc>
        <w:tc>
          <w:tcPr>
            <w:tcW w:type="dxa" w:w="2880"/>
          </w:tcPr>
          <w:p>
            <w:r>
              <w:t>2017</w:t>
            </w:r>
          </w:p>
        </w:tc>
        <w:tc>
          <w:tcPr>
            <w:tcW w:type="dxa" w:w="2880"/>
          </w:tcPr>
          <w:p>
            <w:r>
              <w:t>2016</w:t>
            </w:r>
          </w:p>
        </w:tc>
      </w:tr>
      <w:tr>
        <w:tc>
          <w:tcPr>
            <w:tcW w:type="dxa" w:w="2880"/>
          </w:tcPr>
          <w:p/>
        </w:tc>
        <w:tc>
          <w:tcPr>
            <w:tcW w:type="dxa" w:w="2880"/>
          </w:tcPr>
          <w:p>
            <w:r>
              <w:t>£</w:t>
            </w:r>
          </w:p>
        </w:tc>
        <w:tc>
          <w:tcPr>
            <w:tcW w:type="dxa" w:w="2880"/>
          </w:tcPr>
          <w:p>
            <w:r>
              <w:t>£</w:t>
            </w:r>
          </w:p>
        </w:tc>
      </w:tr>
      <w:tr>
        <w:tc>
          <w:tcPr>
            <w:tcW w:type="dxa" w:w="2880"/>
          </w:tcPr>
          <w:p>
            <w:r>
              <w:t>Trade creditors</w:t>
            </w:r>
          </w:p>
        </w:tc>
        <w:tc>
          <w:tcPr>
            <w:tcW w:type="dxa" w:w="2880"/>
          </w:tcPr>
          <w:p>
            <w:r>
              <w:t>84,954</w:t>
            </w:r>
          </w:p>
        </w:tc>
        <w:tc>
          <w:tcPr>
            <w:tcW w:type="dxa" w:w="2880"/>
          </w:tcPr>
          <w:p>
            <w:r>
              <w:t>292,889</w:t>
            </w:r>
          </w:p>
        </w:tc>
      </w:tr>
      <w:tr>
        <w:tc>
          <w:tcPr>
            <w:tcW w:type="dxa" w:w="2880"/>
          </w:tcPr>
          <w:p>
            <w:r>
              <w:t>Other creditors</w:t>
            </w:r>
          </w:p>
        </w:tc>
        <w:tc>
          <w:tcPr>
            <w:tcW w:type="dxa" w:w="2880"/>
          </w:tcPr>
          <w:p>
            <w:r>
              <w:t>600</w:t>
            </w:r>
          </w:p>
        </w:tc>
        <w:tc>
          <w:tcPr>
            <w:tcW w:type="dxa" w:w="2880"/>
          </w:tcPr>
          <w:p>
            <w:r>
              <w:t>700</w:t>
            </w:r>
          </w:p>
        </w:tc>
      </w:tr>
      <w:tr>
        <w:tc>
          <w:tcPr>
            <w:tcW w:type="dxa" w:w="2880"/>
          </w:tcPr>
          <w:p/>
        </w:tc>
        <w:tc>
          <w:tcPr>
            <w:tcW w:type="dxa" w:w="2880"/>
          </w:tcPr>
          <w:p>
            <w:r>
              <w:t>85,554</w:t>
            </w:r>
          </w:p>
        </w:tc>
        <w:tc>
          <w:tcPr>
            <w:tcW w:type="dxa" w:w="2880"/>
          </w:tcPr>
          <w:p>
            <w:r>
              <w:t>293,589</w:t>
            </w:r>
          </w:p>
        </w:tc>
      </w:tr>
    </w:tbl>
    <w:p/>
    <w:p>
      <w:r>
        <w:t xml:space="preserve"> 4 Other information</w:t>
      </w:r>
    </w:p>
    <w:p>
      <w:r>
        <w:t xml:space="preserve">      DANHSON LLP is a limited liability partnership incorporated in England. Its registered office is:</w:t>
      </w:r>
    </w:p>
    <w:p>
      <w:r>
        <w:t xml:space="preserve">      Langdale House 11 Marshalsea Road London SE11EN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