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E2761"/>
          <w:sz w:val="32"/>
          <w:szCs w:val="32"/>
        </w:rPr>
        <w:t xml:space="preserve">Automated AI-Driven Loan Underwriting &amp; Document Fraud Detection System</w:t>
      </w:r>
    </w:p>
    <w:p>
      <w:pPr>
        <w:spacing w:after="40"/>
        <w:jc w:val="center"/>
      </w:pPr>
      <w:r>
        <w:rPr>
          <w:i/>
          <w:iCs/>
          <w:color w:val="555555"/>
          <w:sz w:val="22"/>
          <w:szCs w:val="22"/>
        </w:rPr>
        <w:t xml:space="preserve">Second Review – Technical Supplement</w:t>
      </w:r>
    </w:p>
    <w:p>
      <w:pPr>
        <w:spacing w:after="400"/>
        <w:jc w:val="center"/>
      </w:pPr>
      <w:r>
        <w:rPr>
          <w:color w:val="555555"/>
          <w:sz w:val="19"/>
          <w:szCs w:val="19"/>
        </w:rPr>
        <w:t xml:space="preserve">Naresh S  |  Roll No: 2436MCA0047  |  Reg. No: 67224200080</w:t>
      </w:r>
    </w:p>
    <w:p>
      <w:pPr>
        <w:pStyle w:val="Heading1"/>
        <w:keepNext/>
        <w:spacing w:after="200" w:before="360"/>
      </w:pPr>
      <w:r>
        <w:rPr>
          <w:b/>
          <w:bCs/>
          <w:color w:val="1E2761"/>
          <w:sz w:val="30"/>
          <w:szCs w:val="30"/>
        </w:rPr>
        <w:t xml:space="preserve">1. Overall System Design</w:t>
      </w:r>
    </w:p>
    <w:p>
      <w:pPr>
        <w:spacing w:after="160" w:line="268"/>
      </w:pPr>
      <w:r>
        <w:rPr>
          <w:sz w:val="20"/>
          <w:szCs w:val="20"/>
        </w:rPr>
        <w:t xml:space="preserve">This section describes the system as actually implemented at the Second Review stage: a decoupled three-tier architecture matching the one proposed in the First Review, with the full forensics, reconciliation, scoring and human-review pipeline built and tested end-to-end.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1.1 Architecture Overview</w:t>
      </w:r>
    </w:p>
    <w:p>
      <w:pPr>
        <w:spacing w:after="160" w:line="268"/>
      </w:pPr>
      <w:r>
        <w:rPr>
          <w:sz w:val="20"/>
          <w:szCs w:val="20"/>
        </w:rPr>
        <w:t xml:space="preserve">The system is organised into three independently deployable tiers, communicating over HTTPS/REST, matching the block diagram proposed in the First Review (Figure 5.1):</w:t>
      </w:r>
    </w:p>
    <w:tbl>
      <w:tblPr>
        <w:tblW w:type="dxa" w:w="9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050"/>
      </w:tblGrid>
      <w:tr>
        <w:tc>
          <w:tcPr>
            <w:tcW w:type="dxa" w:w="2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Tier</w:t>
            </w:r>
          </w:p>
        </w:tc>
        <w:tc>
          <w:tcPr>
            <w:tcW w:type="dxa" w:w="70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Responsibility</w:t>
            </w:r>
          </w:p>
        </w:tc>
      </w:tr>
      <w:tr>
        <w:tc>
          <w:tcPr>
            <w:tcW w:type="dxa" w:w="2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Presentation (Next.js 14 / React / Tailwind CSS)</w:t>
            </w:r>
          </w:p>
        </w:tc>
        <w:tc>
          <w:tcPr>
            <w:tcW w:type="dxa" w:w="70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Applicant portal (apply, upload, track status) and loan officer console (queue, split-screen document/heatmap viewer, ledger table, decision panel, audit trail).</w:t>
            </w:r>
          </w:p>
        </w:tc>
      </w:tr>
      <w:tr>
        <w:tc>
          <w:tcPr>
            <w:tcW w:type="dxa" w:w="2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 Gateway (Node.js 18 / Express)</w:t>
            </w:r>
          </w:p>
        </w:tc>
        <w:tc>
          <w:tcPr>
            <w:tcW w:type="dxa" w:w="70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JWT authentication and role-based access control (Applicant / Officer / Admin), magic-byte file validation, request orchestration, SQLite persistence, asynchronous dispatch of the analysis pipeline.</w:t>
            </w:r>
          </w:p>
        </w:tc>
      </w:tr>
      <w:tr>
        <w:tc>
          <w:tcPr>
            <w:tcW w:type="dxa" w:w="28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AI &amp; Forensics Microservice (Python 3.11 / FastAPI)</w:t>
            </w:r>
          </w:p>
        </w:tc>
        <w:tc>
          <w:tcPr>
            <w:tcW w:type="dxa" w:w="70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PDF structural/metadata inspection, Error Level Analysis, ledger table extraction (pdfplumber + OpenCV-grid + Tesseract OCR fallback), deterministic ledger reconciliation, DTI/AMB calculation, XGBoost credit-risk scoring.</w:t>
            </w:r>
          </w:p>
        </w:tc>
      </w:tr>
    </w:tbl>
    <w:p>
      <w:pPr>
        <w:spacing w:before="200"/>
      </w:pPr>
    </w:p>
    <w:p>
      <w:pPr>
        <w:spacing w:after="160" w:line="268"/>
      </w:pPr>
      <w:r>
        <w:rPr>
          <w:sz w:val="20"/>
          <w:szCs w:val="20"/>
        </w:rPr>
        <w:t xml:space="preserve">Why split this way: the gateway owns identity, authorization and persistence; the Python service owns pure computation (OCR, forensics, ML). Each tier is independently developable and testable, and the forensics service has no knowledge of HTTP sessions or the database – it only receives a file buffer and returns a structured verdict.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1.2 Request Flow and Asynchronous Processing</w:t>
      </w:r>
    </w:p>
    <w:p>
      <w:pPr>
        <w:spacing w:after="160" w:line="268"/>
      </w:pPr>
      <w:r>
        <w:rPr>
          <w:sz w:val="20"/>
          <w:szCs w:val="20"/>
        </w:rPr>
        <w:t xml:space="preserve">A key design decision made since the First Review is that document analysis now runs asynchronously rather than blocking the applicant's upload request. Originally, the upload endpoint awaited the entire forensics + ledger + XGBoost pipeline before responding – on a real document this could take several seconds, during which the applicant's browser simply waited with no feedback.</w:t>
      </w:r>
    </w:p>
    <w:p>
      <w:pPr>
        <w:spacing w:after="160" w:line="268"/>
      </w:pPr>
      <w:r>
        <w:rPr>
          <w:sz w:val="20"/>
          <w:szCs w:val="20"/>
        </w:rPr>
        <w:t xml:space="preserve">The upload endpoint now performs only fast, synchronous validation (magic-byte / MIME check, document-type check), immediately marks the application PROCESSING, and responds within milliseconds. The full pipeline then runs in the background; its result is written to the application record, and the frontend polls the application endpoint every 2.5 seconds while the application is not yet in a final state, so the UI updates itself with no further action from the user.</w:t>
      </w:r>
    </w:p>
    <w:tbl>
      <w:tblPr>
        <w:tblW w:type="dxa" w:w="9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00"/>
        <w:gridCol w:w="4650"/>
      </w:tblGrid>
      <w:tr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Step</w:t>
            </w:r>
          </w:p>
        </w:tc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Actor</w:t>
            </w:r>
          </w:p>
        </w:tc>
        <w:tc>
          <w:tcPr>
            <w:tcW w:type="dxa" w:w="4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Action</w:t>
            </w:r>
          </w:p>
        </w:tc>
      </w:tr>
      <w:tr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Applicant</w:t>
            </w:r>
          </w:p>
        </w:tc>
        <w:tc>
          <w:tcPr>
            <w:tcW w:type="dxa" w:w="4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Submits loan details + uploads a document in one combined form.</w:t>
            </w:r>
          </w:p>
        </w:tc>
      </w:tr>
      <w:tr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4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Validates magic bytes, creates the application row, sets status = PROCESSING, responds immediately (HTTP 202).</w:t>
            </w:r>
          </w:p>
        </w:tc>
      </w:tr>
      <w:tr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 → Forensics service</w:t>
            </w:r>
          </w:p>
        </w:tc>
        <w:tc>
          <w:tcPr>
            <w:tcW w:type="dxa" w:w="4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Dispatches the file to the FastAPI microservice in the background (not awaited by the HTTP response).</w:t>
            </w:r>
          </w:p>
        </w:tc>
      </w:tr>
      <w:tr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Forensics service</w:t>
            </w:r>
          </w:p>
        </w:tc>
        <w:tc>
          <w:tcPr>
            <w:tcW w:type="dxa" w:w="4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Runs metadata/font inspection, ELA, ledger extraction + reconciliation, DTI/AMB, and calls the XGBoost scorer.</w:t>
            </w:r>
          </w:p>
        </w:tc>
      </w:tr>
      <w:tr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4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Persists the result, computes the routing decision, writes a WORM audit-log entry, updates application status.</w:t>
            </w:r>
          </w:p>
        </w:tc>
      </w:tr>
      <w:tr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Frontend (polling)</w:t>
            </w:r>
          </w:p>
        </w:tc>
        <w:tc>
          <w:tcPr>
            <w:tcW w:type="dxa" w:w="4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Applicant and officer views refresh automatically; the officer sees the full evidence set, the applicant sees only a status timeline.</w:t>
            </w:r>
          </w:p>
        </w:tc>
      </w:tr>
      <w:tr>
        <w:tc>
          <w:tcPr>
            <w:tcW w:type="dxa" w:w="1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Officer</w:t>
            </w:r>
          </w:p>
        </w:tc>
        <w:tc>
          <w:tcPr>
            <w:tcW w:type="dxa" w:w="4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Confirms (one click for AUTO_APPROVE) or manually reviews / overrides / rejects; this decision is itself audit-logged.</w:t>
            </w:r>
          </w:p>
        </w:tc>
      </w:tr>
    </w:tbl>
    <w:p>
      <w:pPr>
        <w:spacing w:before="200"/>
      </w:pPr>
    </w:p>
    <w:p>
      <w:pPr>
        <w:spacing w:after="160" w:line="268"/>
      </w:pPr>
      <w:r>
        <w:rPr>
          <w:sz w:val="20"/>
          <w:szCs w:val="20"/>
        </w:rPr>
        <w:t xml:space="preserve">This change was verified with a live timing test against the running services: the upload request returned in under 50 milliseconds in every trial, with the full pipeline result (forensics + ledger + credit score) appearing a few seconds later purely through polling – no page refresh or resubmission required.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1.3 Authentication, Authorization and Input Safety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0"/>
          <w:szCs w:val="20"/>
        </w:rPr>
        <w:t xml:space="preserve">JWT-based authentication; tokens carry the user's id and role and are validated on every API route.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0"/>
          <w:szCs w:val="20"/>
        </w:rPr>
        <w:t xml:space="preserve">Role-based access control: an Applicant can only see and act on their own applications; only Officer/Admin roles can issue a decision; the applicant view deliberately omits forensic internals (heatmap, metadata flags, ledger breakdown) – it only ever shows a status timeline and the final outcome.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0"/>
          <w:szCs w:val="20"/>
        </w:rPr>
        <w:t xml:space="preserve">Magic-byte validation on every upload: the first bytes of the file buffer are checked against known signatures (%PDF-, \xFF\xD8\xFF for JPEG, the PNG signature) before the file is forwarded anywhere – a renamed executable or script cannot pass as a document.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0"/>
          <w:szCs w:val="20"/>
        </w:rPr>
        <w:t xml:space="preserve">Password-protected PDFs: a session-only passphrase is accepted on upload and used once for that request; it is never written to disk, the database, or a log line. If a document turns out to be encrypted and no password (or the wrong one) was supplied, the application status becomes PASSWORD_REQUIRED and the same upload widget reappears for a retry – the applicant never loses their in-progress application.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1.4 Decision Routing Matrix</w:t>
      </w:r>
    </w:p>
    <w:p>
      <w:pPr>
        <w:spacing w:after="160" w:line="268"/>
      </w:pPr>
      <w:r>
        <w:rPr>
          <w:sz w:val="20"/>
          <w:szCs w:val="20"/>
        </w:rPr>
        <w:t xml:space="preserve">Three independent signals – structural/metadata forensics, ledger-math consistency, and the XGBoost credit score – are combined into one of four outcomes. Only the two fully deterministic checks (metadata fingerprinting and ledger arithmetic) are permitted to drive an automatic reject/fraud-alert; Error Level Analysis is treated as a diagnostic aid shown to the officer rather than an auto-gate, since it produces false positives on clean, sharply-scanned documents – a deliberate deviation from the First Review's original decision table, explained further in the Deviation section of the main Second Review Report.</w:t>
      </w:r>
    </w:p>
    <w:tbl>
      <w:tblPr>
        <w:tblW w:type="dxa" w:w="9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300"/>
        <w:gridCol w:w="2300"/>
        <w:gridCol w:w="2550"/>
      </w:tblGrid>
      <w:tr>
        <w:tc>
          <w:tcPr>
            <w:tcW w:type="dxa" w:w="2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Metadata / Font Flag</w:t>
            </w:r>
          </w:p>
        </w:tc>
        <w:tc>
          <w:tcPr>
            <w:tcW w:type="dxa" w:w="2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Ledger Math</w:t>
            </w:r>
          </w:p>
        </w:tc>
        <w:tc>
          <w:tcPr>
            <w:tcW w:type="dxa" w:w="2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Credit Score</w:t>
            </w:r>
          </w:p>
        </w:tc>
        <w:tc>
          <w:tcPr>
            <w:tcW w:type="dxa" w:w="2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Routing</w:t>
            </w:r>
          </w:p>
        </w:tc>
      </w:tr>
      <w:tr>
        <w:tc>
          <w:tcPr>
            <w:tcW w:type="dxa" w:w="2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Tampered</w:t>
            </w:r>
          </w:p>
        </w:tc>
        <w:tc>
          <w:tcPr>
            <w:tcW w:type="dxa" w:w="2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Any</w:t>
            </w:r>
          </w:p>
        </w:tc>
        <w:tc>
          <w:tcPr>
            <w:tcW w:type="dxa" w:w="2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Any</w:t>
            </w:r>
          </w:p>
        </w:tc>
        <w:tc>
          <w:tcPr>
            <w:tcW w:type="dxa" w:w="2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REJECT_FRAUD_ALERT</w:t>
            </w:r>
          </w:p>
        </w:tc>
      </w:tr>
      <w:tr>
        <w:tc>
          <w:tcPr>
            <w:tcW w:type="dxa" w:w="2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Clean</w:t>
            </w:r>
          </w:p>
        </w:tc>
        <w:tc>
          <w:tcPr>
            <w:tcW w:type="dxa" w:w="2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Drift / unverifiable</w:t>
            </w:r>
          </w:p>
        </w:tc>
        <w:tc>
          <w:tcPr>
            <w:tcW w:type="dxa" w:w="2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Any</w:t>
            </w:r>
          </w:p>
        </w:tc>
        <w:tc>
          <w:tcPr>
            <w:tcW w:type="dxa" w:w="2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MANUAL_REVIEW</w:t>
            </w:r>
          </w:p>
        </w:tc>
      </w:tr>
      <w:tr>
        <w:tc>
          <w:tcPr>
            <w:tcW w:type="dxa" w:w="2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Clean</w:t>
            </w:r>
          </w:p>
        </w:tc>
        <w:tc>
          <w:tcPr>
            <w:tcW w:type="dxa" w:w="2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Consistent</w:t>
            </w:r>
          </w:p>
        </w:tc>
        <w:tc>
          <w:tcPr>
            <w:tcW w:type="dxa" w:w="2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≥ 750 (LOW risk)</w:t>
            </w:r>
          </w:p>
        </w:tc>
        <w:tc>
          <w:tcPr>
            <w:tcW w:type="dxa" w:w="2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AUTO_APPROVE (recommendation)</w:t>
            </w:r>
          </w:p>
        </w:tc>
      </w:tr>
      <w:tr>
        <w:tc>
          <w:tcPr>
            <w:tcW w:type="dxa" w:w="2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Clean</w:t>
            </w:r>
          </w:p>
        </w:tc>
        <w:tc>
          <w:tcPr>
            <w:tcW w:type="dxa" w:w="2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Consistent</w:t>
            </w:r>
          </w:p>
        </w:tc>
        <w:tc>
          <w:tcPr>
            <w:tcW w:type="dxa" w:w="2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600–749 (MEDIUM)</w:t>
            </w:r>
          </w:p>
        </w:tc>
        <w:tc>
          <w:tcPr>
            <w:tcW w:type="dxa" w:w="2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MANUAL_REVIEW</w:t>
            </w:r>
          </w:p>
        </w:tc>
      </w:tr>
      <w:tr>
        <w:tc>
          <w:tcPr>
            <w:tcW w:type="dxa" w:w="2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Clean</w:t>
            </w:r>
          </w:p>
        </w:tc>
        <w:tc>
          <w:tcPr>
            <w:tcW w:type="dxa" w:w="2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Consistent</w:t>
            </w:r>
          </w:p>
        </w:tc>
        <w:tc>
          <w:tcPr>
            <w:tcW w:type="dxa" w:w="2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&lt; 600 (HIGH)</w:t>
            </w:r>
          </w:p>
        </w:tc>
        <w:tc>
          <w:tcPr>
            <w:tcW w:type="dxa" w:w="2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REJECT</w:t>
            </w:r>
          </w:p>
        </w:tc>
      </w:tr>
    </w:tbl>
    <w:p>
      <w:pPr>
        <w:spacing w:before="160"/>
      </w:pPr>
    </w:p>
    <w:p>
      <w:pPr>
        <w:spacing w:after="160" w:line="268"/>
      </w:pPr>
      <w:r>
        <w:rPr>
          <w:sz w:val="20"/>
          <w:szCs w:val="20"/>
        </w:rPr>
        <w:t xml:space="preserve">Even AUTO_APPROVE is only ever a recommendation: the officer console shows a “System check passed” panel with a single “Confirm &amp; Approve” action – nothing is finalized without an accountable human decision (see Figure 5).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1.5 Persistence Schema</w:t>
      </w:r>
    </w:p>
    <w:p>
      <w:pPr>
        <w:spacing w:after="160" w:line="268"/>
      </w:pPr>
      <w:r>
        <w:rPr>
          <w:sz w:val="20"/>
          <w:szCs w:val="20"/>
        </w:rPr>
        <w:t xml:space="preserve">Data is persisted across five tables (SQLite in the current prototype; see the Deviation section for why MySQL, as originally proposed, was not used at this stage). Unlike the First Review's ER diagram, which groups the forensic/financial/risk results into JSON sub-documents on the applications table, the implementation uses flat typed columns throughout – simpler to query, index and validate at this scale, at the cost of needing a migration if a field is added later.</w:t>
      </w:r>
    </w:p>
    <w:tbl>
      <w:tblPr>
        <w:tblW w:type="dxa" w:w="9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5050"/>
      </w:tblGrid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Table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Key fields</w:t>
            </w:r>
          </w:p>
        </w:tc>
        <w:tc>
          <w:tcPr>
            <w:tcW w:type="dxa" w:w="50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users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id, fullName, email (unique), passwordHash, role</w:t>
            </w:r>
          </w:p>
        </w:tc>
        <w:tc>
          <w:tcPr>
            <w:tcW w:type="dxa" w:w="50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Credentials and role for Applicants, Officers and Admins. Passwords are bcrypt-hashed; the plaintext is never stored.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applications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id, applicantId (FK), loanAmount, tenureMonths, isTampered, tamperConfidence, isMathConsistent, verifiedMonthlyIncome, calculatedDTI, creditScore, riskBand, recommendation, status, lastError</w:t>
            </w:r>
          </w:p>
        </w:tc>
        <w:tc>
          <w:tcPr>
            <w:tcW w:type="dxa" w:w="50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The master record for one loan application: the applicant's request, every forensic/financial/risk result, and the current workflow status (including PROCESSING, PASSWORD_REQUIRED and ANALYSIS_FAILED – states introduced for the asynchronous pipeline in Section 1.2).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documents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id, applicationId (FK), docType, storageKey, mimeType, elaHeatmapBase64</w:t>
            </w:r>
          </w:p>
        </w:tc>
        <w:tc>
          <w:tcPr>
            <w:tcW w:type="dxa" w:w="50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One row per uploaded file; the ELA heatmap is stored alongside it so the split-screen viewer can render both without re-running analysis.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ledger_line_items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id, applicationId (FK), documentId (FK), txnDate, credit, debit, balance, expectedBalance, isMathDrift</w:t>
            </w:r>
          </w:p>
        </w:tc>
        <w:tc>
          <w:tcPr>
            <w:tcW w:type="dxa" w:w="50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One row per reconciled transaction; expectedBalance and isMathDrift are the output of the Module 5 reconciliation algorithm (Section 4.2), not re-derived at display time.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audit_logs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id, applicationId (FK), reviewedBy (FK, nullable), actionTaken, evidenceHash, timestamp</w:t>
            </w:r>
          </w:p>
        </w:tc>
        <w:tc>
          <w:tcPr>
            <w:tcW w:type="dxa" w:w="50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Append-only (WORM) log of every automated check and human decision; reviewedBy is null for system-generated entries.</w:t>
            </w:r>
          </w:p>
        </w:tc>
      </w:tr>
    </w:tbl>
    <w:p>
      <w:pPr>
        <w:spacing w:before="200"/>
      </w:pP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1.6 Technology Stack</w:t>
      </w:r>
    </w:p>
    <w:tbl>
      <w:tblPr>
        <w:tblW w:type="dxa" w:w="9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50"/>
      </w:tblGrid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Layer</w:t>
            </w:r>
          </w:p>
        </w:tc>
        <w:tc>
          <w:tcPr>
            <w:tcW w:type="dxa" w:w="72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Technologies</w:t>
            </w:r>
          </w:p>
        </w:tc>
      </w:tr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72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Next.js 14 (App Router), React 18, Tailwind CSS, TypeScript</w:t>
            </w:r>
          </w:p>
        </w:tc>
      </w:tr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72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Node.js 18, Express, better-sqlite3, jsonwebtoken, bcrypt, multer (file upload handling)</w:t>
            </w:r>
          </w:p>
        </w:tc>
      </w:tr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Forensics / ML service</w:t>
            </w:r>
          </w:p>
        </w:tc>
        <w:tc>
          <w:tcPr>
            <w:tcW w:type="dxa" w:w="72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 3.11, FastAPI, PyMuPDF (fitz), pdfplumber, OpenCV (cv2), Pillow, pytesseract (Tesseract OCR), XGBoost, NumPy, scikit-learn</w:t>
            </w:r>
          </w:p>
        </w:tc>
      </w:tr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</w:t>
            </w:r>
          </w:p>
        </w:tc>
        <w:tc>
          <w:tcPr>
            <w:tcW w:type="dxa" w:w="72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SQLite (WAL mode) for the single-user prototype</w:t>
            </w:r>
          </w:p>
        </w:tc>
      </w:tr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Testing / Tooling</w:t>
            </w:r>
          </w:p>
        </w:tc>
        <w:tc>
          <w:tcPr>
            <w:tcW w:type="dxa" w:w="72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Playwright (browser smoke tests for both applicant and officer flows), ESLint, TypeScript compiler checks</w:t>
            </w:r>
          </w:p>
        </w:tc>
      </w:tr>
    </w:tbl>
    <w:p>
      <w:pPr>
        <w:spacing w:before="200"/>
      </w:pP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1.7 Live Performance Verification</w:t>
      </w:r>
    </w:p>
    <w:p>
      <w:pPr>
        <w:spacing w:after="160" w:line="268"/>
      </w:pPr>
      <w:r>
        <w:rPr>
          <w:sz w:val="20"/>
          <w:szCs w:val="20"/>
        </w:rPr>
        <w:t xml:space="preserve">The asynchronous upload design described in Section 1.2 was verified against the running services rather than assumed from the code alone: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0"/>
          <w:szCs w:val="20"/>
        </w:rPr>
        <w:t xml:space="preserve">Upload request latency (magic-byte validation → HTTP 202 response): consistently under 50 milliseconds across repeated trials, regardless of document size or whether the document later turned out to need a password.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0"/>
          <w:szCs w:val="20"/>
        </w:rPr>
        <w:t xml:space="preserve">Full pipeline turnaround (forensics + ELA + ledger reconciliation + XGBoost scoring, visible to the frontend via polling): a few seconds per document on the development machine, dominated by Tesseract OCR when the OCR fallback path is exercised.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0"/>
          <w:szCs w:val="20"/>
        </w:rPr>
        <w:t xml:space="preserve">All three decision branches (AUTO_APPROVE, MANUAL_REVIEW, REJECT_FRAUD_ALERT) were driven end-to-end through the real HTTP API – register, create application, upload, poll – not through a mocked UI state, confirming the gateway and forensics service agree on the same outcome the officer console displays.</w:t>
      </w:r>
    </w:p>
    <w:p>
      <w:pPr>
        <w:pStyle w:val="Heading1"/>
        <w:keepNext/>
        <w:spacing w:after="200" w:before="360"/>
      </w:pPr>
      <w:r>
        <w:rPr>
          <w:b/>
          <w:bCs/>
          <w:color w:val="1E2761"/>
          <w:sz w:val="30"/>
          <w:szCs w:val="30"/>
        </w:rPr>
        <w:t xml:space="preserve">2. Data Set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2.1 Credit-Risk Training Data</w:t>
      </w:r>
    </w:p>
    <w:p>
      <w:pPr>
        <w:spacing w:after="160" w:line="268"/>
      </w:pPr>
      <w:r>
        <w:rPr>
          <w:sz w:val="20"/>
          <w:szCs w:val="20"/>
        </w:rPr>
        <w:t xml:space="preserve">The XGBoost credit-risk model is trained on the public “Give Me Some Credit” dataset (Kaggle), consisting of approximately 150,000 anonymised borrower records with a binary label indicating serious delinquency (90+ days past due) within two years.</w:t>
      </w:r>
    </w:p>
    <w:tbl>
      <w:tblPr>
        <w:tblW w:type="dxa" w:w="9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550"/>
      </w:tblGrid>
      <w:tr>
        <w:tc>
          <w:tcPr>
            <w:tcW w:type="dxa" w:w="3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Field</w:t>
            </w:r>
          </w:p>
        </w:tc>
        <w:tc>
          <w:tcPr>
            <w:tcW w:type="dxa" w:w="6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3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SeriousDlqin2yrs</w:t>
            </w:r>
          </w:p>
        </w:tc>
        <w:tc>
          <w:tcPr>
            <w:tcW w:type="dxa" w:w="6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 label – 1 if the borrower experienced 90+ days delinquency within two years.</w:t>
            </w:r>
          </w:p>
        </w:tc>
      </w:tr>
      <w:tr>
        <w:tc>
          <w:tcPr>
            <w:tcW w:type="dxa" w:w="3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RevolvingUtilizationOfUnsecuredLines</w:t>
            </w:r>
          </w:p>
        </w:tc>
        <w:tc>
          <w:tcPr>
            <w:tcW w:type="dxa" w:w="6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Total balance on credit cards/lines divided by the sum of credit limits.</w:t>
            </w:r>
          </w:p>
        </w:tc>
      </w:tr>
      <w:tr>
        <w:tc>
          <w:tcPr>
            <w:tcW w:type="dxa" w:w="3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</w:t>
            </w:r>
          </w:p>
        </w:tc>
        <w:tc>
          <w:tcPr>
            <w:tcW w:type="dxa" w:w="6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Borrower's age in years.</w:t>
            </w:r>
          </w:p>
        </w:tc>
      </w:tr>
      <w:tr>
        <w:tc>
          <w:tcPr>
            <w:tcW w:type="dxa" w:w="3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NumberOfTime30-59DaysPastDueNotWorse</w:t>
            </w:r>
          </w:p>
        </w:tc>
        <w:tc>
          <w:tcPr>
            <w:tcW w:type="dxa" w:w="6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Count of times 30-59 days past due in the last 2 years.</w:t>
            </w:r>
          </w:p>
        </w:tc>
      </w:tr>
      <w:tr>
        <w:tc>
          <w:tcPr>
            <w:tcW w:type="dxa" w:w="3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DebtRatio</w:t>
            </w:r>
          </w:p>
        </w:tc>
        <w:tc>
          <w:tcPr>
            <w:tcW w:type="dxa" w:w="6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Monthly debt payments, alimony and living costs divided by monthly gross income.</w:t>
            </w:r>
          </w:p>
        </w:tc>
      </w:tr>
      <w:tr>
        <w:tc>
          <w:tcPr>
            <w:tcW w:type="dxa" w:w="3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MonthlyIncome</w:t>
            </w:r>
          </w:p>
        </w:tc>
        <w:tc>
          <w:tcPr>
            <w:tcW w:type="dxa" w:w="6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Monthly income.</w:t>
            </w:r>
          </w:p>
        </w:tc>
      </w:tr>
      <w:tr>
        <w:tc>
          <w:tcPr>
            <w:tcW w:type="dxa" w:w="3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NumberOfOpenCreditLinesAndLoans</w:t>
            </w:r>
          </w:p>
        </w:tc>
        <w:tc>
          <w:tcPr>
            <w:tcW w:type="dxa" w:w="6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Count of open loans and credit lines.</w:t>
            </w:r>
          </w:p>
        </w:tc>
      </w:tr>
      <w:tr>
        <w:tc>
          <w:tcPr>
            <w:tcW w:type="dxa" w:w="3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NumberOfTimes90DaysLate</w:t>
            </w:r>
          </w:p>
        </w:tc>
        <w:tc>
          <w:tcPr>
            <w:tcW w:type="dxa" w:w="6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Count of times 90+ days past due.</w:t>
            </w:r>
          </w:p>
        </w:tc>
      </w:tr>
      <w:tr>
        <w:tc>
          <w:tcPr>
            <w:tcW w:type="dxa" w:w="3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NumberRealEstateLoansOrLines</w:t>
            </w:r>
          </w:p>
        </w:tc>
        <w:tc>
          <w:tcPr>
            <w:tcW w:type="dxa" w:w="6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Count of mortgage and real-estate loans, including home equity lines.</w:t>
            </w:r>
          </w:p>
        </w:tc>
      </w:tr>
      <w:tr>
        <w:tc>
          <w:tcPr>
            <w:tcW w:type="dxa" w:w="3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NumberOfTime60-89DaysPastDueNotWorse</w:t>
            </w:r>
          </w:p>
        </w:tc>
        <w:tc>
          <w:tcPr>
            <w:tcW w:type="dxa" w:w="6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Count of times 60-89 days past due in the last 2 years.</w:t>
            </w:r>
          </w:p>
        </w:tc>
      </w:tr>
      <w:tr>
        <w:tc>
          <w:tcPr>
            <w:tcW w:type="dxa" w:w="33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NumberOfDependents</w:t>
            </w:r>
          </w:p>
        </w:tc>
        <w:tc>
          <w:tcPr>
            <w:tcW w:type="dxa" w:w="65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Number of dependents excluding the borrower (spouse, children, etc.).</w:t>
            </w:r>
          </w:p>
        </w:tc>
      </w:tr>
    </w:tbl>
    <w:p>
      <w:pPr>
        <w:spacing w:before="200"/>
      </w:pPr>
    </w:p>
    <w:p>
      <w:pPr>
        <w:keepNext/>
        <w:spacing w:after="100" w:before="200"/>
      </w:pPr>
      <w:r>
        <w:rPr>
          <w:b/>
          <w:bCs/>
          <w:sz w:val="21"/>
          <w:szCs w:val="21"/>
        </w:rPr>
        <w:t xml:space="preserve">Dataset Statistics (measured on the actual training data used)</w:t>
      </w:r>
    </w:p>
    <w:tbl>
      <w:tblPr>
        <w:tblW w:type="dxa" w:w="9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4950"/>
      </w:tblGrid>
      <w:tr>
        <w:tc>
          <w:tcPr>
            <w:tcW w:type="dxa" w:w="4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Metric</w:t>
            </w:r>
          </w:p>
        </w:tc>
        <w:tc>
          <w:tcPr>
            <w:tcW w:type="dxa" w:w="49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Total records</w:t>
            </w:r>
          </w:p>
        </w:tc>
        <w:tc>
          <w:tcPr>
            <w:tcW w:type="dxa" w:w="49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150,000</w:t>
            </w:r>
          </w:p>
        </w:tc>
      </w:tr>
      <w:tr>
        <w:tc>
          <w:tcPr>
            <w:tcW w:type="dxa" w:w="4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Positive label rate (SeriousDlqin2yrs = 1)</w:t>
            </w:r>
          </w:p>
        </w:tc>
        <w:tc>
          <w:tcPr>
            <w:tcW w:type="dxa" w:w="49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6.68%</w:t>
            </w:r>
          </w:p>
        </w:tc>
      </w:tr>
      <w:tr>
        <w:tc>
          <w:tcPr>
            <w:tcW w:type="dxa" w:w="4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Missing MonthlyIncome</w:t>
            </w:r>
          </w:p>
        </w:tc>
        <w:tc>
          <w:tcPr>
            <w:tcW w:type="dxa" w:w="49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29,731 rows (19.8%)</w:t>
            </w:r>
          </w:p>
        </w:tc>
      </w:tr>
      <w:tr>
        <w:tc>
          <w:tcPr>
            <w:tcW w:type="dxa" w:w="4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Missing NumberOfDependents</w:t>
            </w:r>
          </w:p>
        </w:tc>
        <w:tc>
          <w:tcPr>
            <w:tcW w:type="dxa" w:w="49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3,924 rows (2.6%)</w:t>
            </w:r>
          </w:p>
        </w:tc>
      </w:tr>
      <w:tr>
        <w:tc>
          <w:tcPr>
            <w:tcW w:type="dxa" w:w="49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Mean age / std. dev.</w:t>
            </w:r>
          </w:p>
        </w:tc>
        <w:tc>
          <w:tcPr>
            <w:tcW w:type="dxa" w:w="49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52.3 years / 14.8 years</w:t>
            </w:r>
          </w:p>
        </w:tc>
      </w:tr>
    </w:tbl>
    <w:p>
      <w:pPr>
        <w:spacing w:after="160" w:before="160"/>
      </w:pPr>
      <w:r>
        <w:rPr>
          <w:sz w:val="20"/>
          <w:szCs w:val="20"/>
        </w:rPr>
        <w:t xml:space="preserve">A known data-quality issue in the raw dataset, visible from the measured statistics above, is worth noting honestly: the age column contains a minimum value of 0 and a maximum of 109, both implausible for a loan applicant – clear data-entry artifacts rather than real borrowers. These are treated the same way as the RevolvingUtilization/DebtRatio outliers below (clipped rather than dropped, so a small number of corrupt rows cannot dominate training).</w:t>
      </w:r>
    </w:p>
    <w:p>
      <w:pPr>
        <w:keepNext/>
        <w:spacing w:after="100" w:before="200"/>
      </w:pPr>
      <w:r>
        <w:rPr>
          <w:b/>
          <w:bCs/>
          <w:sz w:val="21"/>
          <w:szCs w:val="21"/>
        </w:rPr>
        <w:t xml:space="preserve">Preprocessing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0"/>
          <w:szCs w:val="20"/>
        </w:rPr>
        <w:t xml:space="preserve">Missing MonthlyIncome and NumberOfDependents values are median-imputed.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0"/>
          <w:szCs w:val="20"/>
        </w:rPr>
        <w:t xml:space="preserve">RevolvingUtilization and DebtRatio contain extreme outliers (ratios in the thousands from data-entry artifacts); these are clipped to reasonable upper bounds before training so a handful of corrupt rows cannot dominate the loss.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0"/>
          <w:szCs w:val="20"/>
        </w:rPr>
        <w:t xml:space="preserve">The label is heavily imbalanced (6.68% positive class, measured above), consistent with real-world default rates – handled via XGBoost's scale_pos_weight rather than naive resampling, to avoid distorting the probability calibration.</w:t>
      </w:r>
    </w:p>
    <w:p>
      <w:pPr>
        <w:keepNext/>
        <w:spacing w:after="100" w:before="200"/>
      </w:pPr>
      <w:r>
        <w:rPr>
          <w:b/>
          <w:bCs/>
          <w:sz w:val="21"/>
          <w:szCs w:val="21"/>
        </w:rPr>
        <w:t xml:space="preserve">Training &amp; Evaluation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0"/>
          <w:szCs w:val="20"/>
        </w:rPr>
        <w:t xml:space="preserve">80/20 stratified train/validation split, preserving the class ratio in both partitions.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0"/>
          <w:szCs w:val="20"/>
        </w:rPr>
        <w:t xml:space="preserve">Model: XGBoost gradient-boosted trees (binary:logistic objective), trained on the eleven features above.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0"/>
          <w:szCs w:val="20"/>
        </w:rPr>
        <w:t xml:space="preserve">Evaluation metric: AUC-ROC on the held-out validation split – achieved ≈ 0.87, meaning the model is quite effective at ranking risky vs. safe borrowers relative to a random baseline of 0.5.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sz w:val="20"/>
          <w:szCs w:val="20"/>
        </w:rPr>
        <w:t xml:space="preserve">At inference time, the applicant's own stated/verified figures (income, existing debt, dependents) are mapped into this same feature space, along with a verified monthly income figure derived from the applicant's own reconciled bank statement rather than the self-reported number alone.</w:t>
      </w:r>
    </w:p>
    <w:p>
      <w:pPr>
        <w:spacing w:after="160" w:line="268"/>
      </w:pPr>
      <w:r>
        <w:rPr>
          <w:sz w:val="20"/>
          <w:szCs w:val="20"/>
        </w:rPr>
        <w:t xml:space="preserve">The model's scores are illustrative of the ML scoring layer working end-to-end; they are not calibrated against this system's own lending outcomes, since no proprietary underwriting history exists at the prototype stage (see Deviation section).</w:t>
      </w:r>
    </w:p>
    <w:p>
      <w:pPr>
        <w:keepNext/>
        <w:spacing w:after="100" w:before="200"/>
      </w:pPr>
      <w:r>
        <w:rPr>
          <w:b/>
          <w:bCs/>
          <w:sz w:val="21"/>
          <w:szCs w:val="21"/>
        </w:rPr>
        <w:t xml:space="preserve">Feature Importance (measured on the trained model)</w:t>
      </w:r>
    </w:p>
    <w:p>
      <w:pPr>
        <w:spacing w:after="160" w:line="268"/>
      </w:pPr>
      <w:r>
        <w:rPr>
          <w:sz w:val="20"/>
          <w:szCs w:val="20"/>
        </w:rPr>
        <w:t xml:space="preserve">XGBoost's gain-based feature importance, read directly from the trained model, confirms the features the First Review identified as primary risk signals actually dominate the model's decisions – delinquency-history features account for roughly 87% of total importance, far outweighing income or dependents:</w:t>
      </w:r>
    </w:p>
    <w:tbl>
      <w:tblPr>
        <w:tblW w:type="dxa" w:w="9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0"/>
        <w:gridCol w:w="1700"/>
        <w:gridCol w:w="1750"/>
      </w:tblGrid>
      <w:tr>
        <w:tc>
          <w:tcPr>
            <w:tcW w:type="dxa" w:w="6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Feature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Importance</w:t>
            </w:r>
          </w:p>
        </w:tc>
        <w:tc>
          <w:tcPr>
            <w:tcW w:type="dxa" w:w="17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Rank</w:t>
            </w:r>
          </w:p>
        </w:tc>
      </w:tr>
      <w:tr>
        <w:tc>
          <w:tcPr>
            <w:tcW w:type="dxa" w:w="6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NumberOfTimes90DaysLate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0.4536</w:t>
            </w:r>
          </w:p>
        </w:tc>
        <w:tc>
          <w:tcPr>
            <w:tcW w:type="dxa" w:w="17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6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RevolvingUtilizationOfUnsecuredLines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0.1691</w:t>
            </w:r>
          </w:p>
        </w:tc>
        <w:tc>
          <w:tcPr>
            <w:tcW w:type="dxa" w:w="17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6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NumberOfTime30-59DaysPastDueNotWorse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0.1455</w:t>
            </w:r>
          </w:p>
        </w:tc>
        <w:tc>
          <w:tcPr>
            <w:tcW w:type="dxa" w:w="17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6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NumberOfTime60-89DaysPastDueNotWorse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0.1202</w:t>
            </w:r>
          </w:p>
        </w:tc>
        <w:tc>
          <w:tcPr>
            <w:tcW w:type="dxa" w:w="17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6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NumberRealEstateLoansOrLines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0.0303</w:t>
            </w:r>
          </w:p>
        </w:tc>
        <w:tc>
          <w:tcPr>
            <w:tcW w:type="dxa" w:w="17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6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0.0194</w:t>
            </w:r>
          </w:p>
        </w:tc>
        <w:tc>
          <w:tcPr>
            <w:tcW w:type="dxa" w:w="17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6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NumberOfOpenCreditLinesAndLoans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0.0167</w:t>
            </w:r>
          </w:p>
        </w:tc>
        <w:tc>
          <w:tcPr>
            <w:tcW w:type="dxa" w:w="17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</w:tr>
      <w:tr>
        <w:tc>
          <w:tcPr>
            <w:tcW w:type="dxa" w:w="6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DebtRatio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0.0166</w:t>
            </w:r>
          </w:p>
        </w:tc>
        <w:tc>
          <w:tcPr>
            <w:tcW w:type="dxa" w:w="17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6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MonthlyIncome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0.0149</w:t>
            </w:r>
          </w:p>
        </w:tc>
        <w:tc>
          <w:tcPr>
            <w:tcW w:type="dxa" w:w="17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</w:tr>
      <w:tr>
        <w:tc>
          <w:tcPr>
            <w:tcW w:type="dxa" w:w="6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NumberOfDependents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0.0138</w:t>
            </w:r>
          </w:p>
        </w:tc>
        <w:tc>
          <w:tcPr>
            <w:tcW w:type="dxa" w:w="17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</w:tbl>
    <w:p>
      <w:pPr>
        <w:spacing w:before="160"/>
      </w:pP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2.2 Synthetic Test Documents</w:t>
      </w:r>
    </w:p>
    <w:p>
      <w:pPr>
        <w:spacing w:after="160" w:line="268"/>
      </w:pPr>
      <w:r>
        <w:rPr>
          <w:sz w:val="20"/>
          <w:szCs w:val="20"/>
        </w:rPr>
        <w:t xml:space="preserve">Because no real bank statements are available for testing (and none should be used, for privacy reasons), three synthetic PDF bank statements plus a password-protected variant were generated specifically to exercise every branch of the forensics and reconciliation pipeline:</w:t>
      </w:r>
    </w:p>
    <w:tbl>
      <w:tblPr>
        <w:tblW w:type="dxa" w:w="9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3050"/>
      </w:tblGrid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File</w:t>
            </w:r>
          </w:p>
        </w:tc>
        <w:tc>
          <w:tcPr>
            <w:tcW w:type="dxa" w:w="4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What it demonstrates</w:t>
            </w:r>
          </w:p>
        </w:tc>
        <w:tc>
          <w:tcPr>
            <w:tcW w:type="dxa" w:w="30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9ECF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Expected routing</w:t>
            </w:r>
          </w:p>
        </w:tc>
      </w:tr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sample_clean.pdf</w:t>
            </w:r>
          </w:p>
        </w:tc>
        <w:tc>
          <w:tcPr>
            <w:tcW w:type="dxa" w:w="4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Internally consistent ledger; no editing-tool metadata fingerprint.</w:t>
            </w:r>
          </w:p>
        </w:tc>
        <w:tc>
          <w:tcPr>
            <w:tcW w:type="dxa" w:w="30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AUTO_APPROVE</w:t>
            </w:r>
          </w:p>
        </w:tc>
      </w:tr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sample_tampered.pdf</w:t>
            </w:r>
          </w:p>
        </w:tc>
        <w:tc>
          <w:tcPr>
            <w:tcW w:type="dxa" w:w="4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One balance cell edited, breaking the running-balance reconciliation.</w:t>
            </w:r>
          </w:p>
        </w:tc>
        <w:tc>
          <w:tcPr>
            <w:tcW w:type="dxa" w:w="30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MANUAL_REVIEW</w:t>
            </w:r>
          </w:p>
        </w:tc>
      </w:tr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sample_photoshopped.pdf</w:t>
            </w:r>
          </w:p>
        </w:tc>
        <w:tc>
          <w:tcPr>
            <w:tcW w:type="dxa" w:w="4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Ledger arithmetic is consistent, but the /Producer tag reads “Adobe Photoshop”.</w:t>
            </w:r>
          </w:p>
        </w:tc>
        <w:tc>
          <w:tcPr>
            <w:tcW w:type="dxa" w:w="30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REJECT_FRAUD_ALERT</w:t>
            </w:r>
          </w:p>
        </w:tc>
      </w:tr>
      <w:tr>
        <w:tc>
          <w:tcPr>
            <w:tcW w:type="dxa" w:w="2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Password-encrypted PDF</w:t>
            </w:r>
          </w:p>
        </w:tc>
        <w:tc>
          <w:tcPr>
            <w:tcW w:type="dxa" w:w="4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Any of the above, re-saved with AES-256 encryption and a user password.</w:t>
            </w:r>
          </w:p>
        </w:tc>
        <w:tc>
          <w:tcPr>
            <w:tcW w:type="dxa" w:w="30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PASSWORD_REQUIRED until the correct password is supplied</w:t>
            </w:r>
          </w:p>
        </w:tc>
      </w:tr>
    </w:tbl>
    <w:p>
      <w:pPr>
        <w:spacing w:before="200"/>
      </w:pPr>
    </w:p>
    <w:p>
      <w:pPr>
        <w:spacing w:after="160" w:line="268"/>
      </w:pPr>
      <w:r>
        <w:rPr>
          <w:sz w:val="20"/>
          <w:szCs w:val="20"/>
        </w:rPr>
        <w:t xml:space="preserve">All four were generated programmatically (PyMuPDF + ReportLab) so the exact ledger numbers, metadata tags and encryption are known in advance, making every expected outcome in the Test Cases table independently verifiable rather than assumed.</w:t>
      </w:r>
    </w:p>
    <w:p>
      <w:pPr>
        <w:pStyle w:val="Heading1"/>
        <w:keepNext/>
        <w:spacing w:after="200" w:before="360"/>
      </w:pPr>
      <w:r>
        <w:rPr>
          <w:b/>
          <w:bCs/>
          <w:color w:val="1E2761"/>
          <w:sz w:val="30"/>
          <w:szCs w:val="30"/>
        </w:rPr>
        <w:t xml:space="preserve">3. Modules Completed with Screenshot</w:t>
      </w:r>
    </w:p>
    <w:p>
      <w:pPr>
        <w:spacing w:after="160" w:line="268"/>
      </w:pPr>
      <w:r>
        <w:rPr>
          <w:sz w:val="20"/>
          <w:szCs w:val="20"/>
        </w:rPr>
        <w:t xml:space="preserve">All nine modules from the First Review's eight-week work plan are implemented and have been exercised end-to-end against the running application – the screenshots below were captured from a live session (not mocked), using the clean, tampered and Photoshop-fingerprinted sample documents to drive the system through every decision branch.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Module 1 – Secure Authentication &amp; Role-Based Access</w:t>
      </w:r>
    </w:p>
    <w:p>
      <w:pPr>
        <w:spacing w:after="160" w:line="268"/>
      </w:pPr>
      <w:r>
        <w:rPr>
          <w:sz w:val="20"/>
          <w:szCs w:val="20"/>
        </w:rPr>
        <w:t xml:space="preserve">JWT-based login/registration with two selectable roles (Applicant, Loan Officer); every API route is authorized server-side against the token's role, not just hidden in the UI.</w:t>
      </w:r>
    </w:p>
    <w:p>
      <w:pPr>
        <w:spacing w:after="40"/>
        <w:jc w:val="center"/>
      </w:pPr>
      <w:r>
        <w:drawing>
          <wp:inline distT="0" distB="0" distL="0" distR="0">
            <wp:extent cx="38100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555555"/>
          <w:sz w:val="17"/>
          <w:szCs w:val="17"/>
        </w:rPr>
        <w:t xml:space="preserve">Figure 1. Registration screen – role selection (Applicant / Loan Officer) feeds directly into RBAC.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Module 2 – Application &amp; Document Intake</w:t>
      </w:r>
    </w:p>
    <w:p>
      <w:pPr>
        <w:spacing w:after="160" w:line="268"/>
      </w:pPr>
      <w:r>
        <w:rPr>
          <w:sz w:val="20"/>
          <w:szCs w:val="20"/>
        </w:rPr>
        <w:t xml:space="preserve">Loan details and the supporting document are submitted together in a single form, with magic-byte file validation and an optional password field for encrypted PDFs.</w:t>
      </w:r>
    </w:p>
    <w:p>
      <w:pPr>
        <w:spacing w:after="40"/>
        <w:jc w:val="center"/>
      </w:pPr>
      <w:r>
        <w:drawing>
          <wp:inline distT="0" distB="0" distL="0" distR="0">
            <wp:extent cx="3810000" cy="3019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555555"/>
          <w:sz w:val="17"/>
          <w:szCs w:val="17"/>
        </w:rPr>
        <w:t xml:space="preserve">Figure 2. Combined apply + upload form, including the optional document-password field.</w:t>
      </w:r>
    </w:p>
    <w:p>
      <w:pPr>
        <w:spacing w:after="160" w:line="268"/>
      </w:pPr>
      <w:r>
        <w:rPr>
          <w:sz w:val="20"/>
          <w:szCs w:val="20"/>
        </w:rPr>
        <w:t xml:space="preserve">On submit, the applicant is redirected immediately with a success banner while analysis continues in the background – this is the asynchronous design described in Section 1.2.</w:t>
      </w:r>
    </w:p>
    <w:p>
      <w:pPr>
        <w:spacing w:after="4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555555"/>
          <w:sz w:val="17"/>
          <w:szCs w:val="17"/>
        </w:rPr>
        <w:t xml:space="preserve">Figure 3. Immediate “submitted successfully” acknowledgement and live status timeline, shown while the backend pipeline is still running.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Module 3 – Structural / Metadata Forensics</w:t>
      </w:r>
    </w:p>
    <w:p>
      <w:pPr>
        <w:spacing w:after="160" w:line="268"/>
      </w:pPr>
      <w:r>
        <w:rPr>
          <w:sz w:val="20"/>
          <w:szCs w:val="20"/>
        </w:rPr>
        <w:t xml:space="preserve">PyMuPDF traverses the PDF's internal structure – the /Producer, /Creator and /ModDate tags, and the font resource dictionaries of every page – to detect the fingerprint of an editing tool (Photoshop, Canva, generic PDF editors) or a spliced/substituted font family. This is a deterministic, zero-false-positive check: either the tag matches a known editing tool or it does not.</w:t>
      </w:r>
    </w:p>
    <w:p>
      <w:pPr>
        <w:spacing w:after="160" w:line="268"/>
      </w:pPr>
      <w:r>
        <w:rPr>
          <w:sz w:val="20"/>
          <w:szCs w:val="20"/>
        </w:rPr>
        <w:t xml:space="preserve">Figure 7 (fraud scenario, Module 7 below) shows this module in action – the officer console surfaces a red “Forensic anomalies detected” banner reading “Document Producer/Creator matches known editing tool: 'photoshop'”, which alone is sufficient to route the application to REJECT_FRAUD_ALERT regardless of the credit score.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Module 4 – Error Level Analysis (ELA)</w:t>
      </w:r>
    </w:p>
    <w:p>
      <w:pPr>
        <w:spacing w:after="160" w:line="268"/>
      </w:pPr>
      <w:r>
        <w:rPr>
          <w:sz w:val="20"/>
          <w:szCs w:val="20"/>
        </w:rPr>
        <w:t xml:space="preserve">A deterministic image-forensics formula: the document page is recompressed at a fixed JPEG quality, and the pixel-level difference between the original and the recompressed version is rendered as a heatmap – regions that were edited after the original save tend to compress differently and light up. The split-screen viewer (visible in every officer screenshot in this section) places the original document and its ELA heatmap side by side for direct visual comparison.</w:t>
      </w:r>
    </w:p>
    <w:p>
      <w:pPr>
        <w:spacing w:after="160" w:line="268"/>
      </w:pPr>
      <w:r>
        <w:rPr>
          <w:sz w:val="20"/>
          <w:szCs w:val="20"/>
        </w:rPr>
        <w:t xml:space="preserve">ELA is deliberately kept diagnostic-only in this implementation (see Section 1.4): it is shown to the officer as a visual aid, but it never by itself triggers an automatic rejection, because it is prone to false positives on clean, sharply-scanned documents.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Module 5 – Ledger Extraction &amp; Reconciliation</w:t>
      </w:r>
    </w:p>
    <w:p>
      <w:pPr>
        <w:spacing w:after="160" w:line="268"/>
      </w:pPr>
      <w:r>
        <w:rPr>
          <w:sz w:val="20"/>
          <w:szCs w:val="20"/>
        </w:rPr>
        <w:t xml:space="preserve">Transaction tables are extracted via pdfplumber for digital PDFs, with an OpenCV grid-detection + Tesseract OCR fallback for scanned statements. Every row is then checked with exact-precision decimal arithmetic:</w:t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Expected_Balanceᵢ = Balanceᵢ₋₁ + Creditᵢ − Debitᵢ</w:t>
      </w:r>
    </w:p>
    <w:p>
      <w:pPr>
        <w:spacing w:after="160" w:line="268"/>
      </w:pPr>
      <w:r>
        <w:rPr>
          <w:sz w:val="20"/>
          <w:szCs w:val="20"/>
        </w:rPr>
        <w:t xml:space="preserve">A row where |Balanceᵢ − Expected_Balanceᵢ| exceeds a small tolerance is flagged as a math drift and highlighted in red in the officer's ledger table – shown clearly in Figure 6, where two consecutive rows fail the check after a deliberately altered balance cell.</w:t>
      </w:r>
    </w:p>
    <w:p>
      <w:pPr>
        <w:spacing w:after="40"/>
        <w:jc w:val="center"/>
      </w:pPr>
      <w:r>
        <w:drawing>
          <wp:inline distT="0" distB="0" distL="0" distR="0">
            <wp:extent cx="3143250" cy="4124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555555"/>
          <w:sz w:val="17"/>
          <w:szCs w:val="17"/>
        </w:rPr>
        <w:t xml:space="preserve">Figure 6. Manual-review case: ledger rows flagged in red where the running balance fails reconciliation, routing this application to MANUAL_REVIEW.</w:t>
      </w:r>
    </w:p>
    <w:p>
      <w:pPr>
        <w:spacing w:after="160" w:line="268"/>
      </w:pPr>
      <w:r>
        <w:rPr>
          <w:sz w:val="20"/>
          <w:szCs w:val="20"/>
        </w:rPr>
        <w:t xml:space="preserve">On total extraction failure (e.g. an unsupported scanned layout), the system does not silently assume the ledger is consistent – it records isMathConsistent as unknown, adds a visible anomaly note, and routes to MANUAL_REVIEW instead of auto-approving on missing evidence.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Module 6 – Solvency Metrics &amp; Credit Risk Scoring</w:t>
      </w:r>
    </w:p>
    <w:p>
      <w:pPr>
        <w:spacing w:after="160" w:line="268"/>
      </w:pPr>
      <w:r>
        <w:rPr>
          <w:sz w:val="20"/>
          <w:szCs w:val="20"/>
        </w:rPr>
        <w:t xml:space="preserve">Debt-to-Income and Average Monthly Balance are computed deterministically from the verified ledger, and fed – together with age, existing debt and dependents – into the XGBoost model described in Section 2.1 to produce a 300–900 credit score and a LOW / MEDIUM / HIGH risk band. These figures are displayed as summary cards at the top of every officer review screen (see Figures 5–7).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Module 7 – Decision Routing Engine</w:t>
      </w:r>
    </w:p>
    <w:p>
      <w:pPr>
        <w:spacing w:after="160" w:line="268"/>
      </w:pPr>
      <w:r>
        <w:rPr>
          <w:sz w:val="20"/>
          <w:szCs w:val="20"/>
        </w:rPr>
        <w:t xml:space="preserve">The deterministic tri/four-state matrix from Section 1.4 combines the outputs of Modules 3, 5 and 6 into a single recommendation, shown as a status/recommendation badge pair at the top of the officer's view. All three branches were exercised live:</w:t>
      </w:r>
    </w:p>
    <w:p>
      <w:pPr>
        <w:spacing w:after="40"/>
        <w:jc w:val="center"/>
      </w:pPr>
      <w:r>
        <w:drawing>
          <wp:inline distT="0" distB="0" distL="0" distR="0">
            <wp:extent cx="3143250" cy="4010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555555"/>
          <w:sz w:val="17"/>
          <w:szCs w:val="17"/>
        </w:rPr>
        <w:t xml:space="preserve">Figure 5. AUTO_APPROVE case – all three checks cleared; the officer still confirms with one click rather than the system finalizing silently.</w:t>
      </w:r>
    </w:p>
    <w:p>
      <w:pPr>
        <w:spacing w:after="40"/>
        <w:jc w:val="center"/>
      </w:pPr>
      <w:r>
        <w:drawing>
          <wp:inline distT="0" distB="0" distL="0" distR="0">
            <wp:extent cx="3143250" cy="4057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555555"/>
          <w:sz w:val="17"/>
          <w:szCs w:val="17"/>
        </w:rPr>
        <w:t xml:space="preserve">Figure 7. REJECT_FRAUD_ALERT case – the metadata forensic anomaly (Module 3) alone is sufficient to auto-reject.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Module 8 – Officer Review &amp; Human-in-the-Loop Confirmation</w:t>
      </w:r>
    </w:p>
    <w:p>
      <w:pPr>
        <w:spacing w:after="160" w:line="268"/>
      </w:pPr>
      <w:r>
        <w:rPr>
          <w:sz w:val="20"/>
          <w:szCs w:val="20"/>
        </w:rPr>
        <w:t xml:space="preserve">Every application – including an AUTO_APPROVE recommendation – requires an explicit officer action before it is finalized. Figure 5 shows the one-click “Confirm &amp; Approve” path offered when every automated check has already passed; Figure 6 shows the full manual panel (Approve / Override &amp; Approve / Reject, with optional notes) offered for MANUAL_REVIEW cases. On the applicant side, none of this forensic detail is exposed – only a status timeline and the final outcome are shown, consistent with the role-based design in Section 1.3:</w:t>
      </w:r>
    </w:p>
    <w:p>
      <w:pPr>
        <w:spacing w:after="4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555555"/>
          <w:sz w:val="17"/>
          <w:szCs w:val="17"/>
        </w:rPr>
        <w:t xml:space="preserve">Figure 8. Applicant's own view of the same application after the officer's approval – status only, no forensic internals.</w:t>
      </w:r>
    </w:p>
    <w:p>
      <w:pPr>
        <w:spacing w:after="160" w:line="268"/>
      </w:pPr>
      <w:r>
        <w:rPr>
          <w:sz w:val="20"/>
          <w:szCs w:val="20"/>
        </w:rPr>
        <w:t xml:space="preserve">The underwriting queue itself (Figure 4) lets an officer move between applications without returning to a separate list page, each entry showing its live status and recommendation badge.</w:t>
      </w:r>
    </w:p>
    <w:p>
      <w:pPr>
        <w:spacing w:after="4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555555"/>
          <w:sz w:val="17"/>
          <w:szCs w:val="17"/>
        </w:rPr>
        <w:t xml:space="preserve">Figure 4. Officer's underwriting queue – persistent sidebar, live status per application.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Module 9 – Audit Logging</w:t>
      </w:r>
    </w:p>
    <w:p>
      <w:pPr>
        <w:spacing w:after="160" w:line="268"/>
      </w:pPr>
      <w:r>
        <w:rPr>
          <w:sz w:val="20"/>
          <w:szCs w:val="20"/>
        </w:rPr>
        <w:t xml:space="preserve">Every automated check and every human decision is written to an append-only (Write-Once-Read-Many) audit log, each entry carrying a SHA-256 hash of the evidence it refers to, the reviewing officer's identity (or “system” for automated entries) and a timestamp. This is visible at the bottom of every officer review screen (Figures 5–7) – e.g. an “AUTOMATED_ANALYSIS” entry recording the system's recommendation, followed by an “APPROVE by &lt;officer name&gt;” entry once a human confirms it. This produces an independently verifiable record that a disputed decision can later be proven to match the exact evidence it was based on.</w:t>
      </w:r>
    </w:p>
    <w:p>
      <w:pPr>
        <w:pStyle w:val="Heading1"/>
        <w:keepNext/>
        <w:spacing w:after="200" w:before="360"/>
      </w:pPr>
      <w:r>
        <w:rPr>
          <w:b/>
          <w:bCs/>
          <w:color w:val="1E2761"/>
          <w:sz w:val="30"/>
          <w:szCs w:val="30"/>
        </w:rPr>
        <w:t xml:space="preserve">4. Pseudo Code for Incomplete Modules</w:t>
      </w:r>
    </w:p>
    <w:p>
      <w:pPr>
        <w:spacing w:after="160" w:line="268"/>
      </w:pPr>
      <w:r>
        <w:rPr>
          <w:sz w:val="20"/>
          <w:szCs w:val="20"/>
        </w:rPr>
        <w:t xml:space="preserve">All nine modules from the First Review's Week 1–8 work plan are functionally complete and have been exercised end-to-end against the running application, as demonstrated in Section 3 with live screenshots rather than mock-ups. No module is incomplete at this review stage, so there is no pending work requiring pseudocode.</w:t>
      </w:r>
    </w:p>
    <w:p>
      <w:pPr>
        <w:spacing w:after="160" w:line="268"/>
      </w:pPr>
      <w:r>
        <w:rPr>
          <w:sz w:val="20"/>
          <w:szCs w:val="20"/>
        </w:rPr>
        <w:t xml:space="preserve">For completeness and as an engineering reference, the pseudocode for the three core deterministic algorithms – already implemented and tested – is included below.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4.1 Error Level Analysis (Module 4)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function runErrorLevelAnalysis(pageImage):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original ← decodeToRGB(pageImage)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recompressed ← JPEGEncode(original, quality = 92)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diff ← abs(original − recompressed)              // per-pixel luminance difference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heatmap ← clip(diff × 15, 0, 255)                // scale factor S = 15, 8-bit grayscale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tamperScore ← (stdDev(diff) / (mean(diff) + 1e-5)) × 10.0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if tamperScore &gt; 35.0 or max(diff) &gt; 220: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    return { tampered: true, heatmap, tamperScore }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return { tampered: false, heatmap, tamperScore }       // shown to officer regardless; never auto-gates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4.2 Deterministic Ledger Reconciliation (Module 5)</w:t>
      </w:r>
    </w:p>
    <w:p>
      <w:pPr>
        <w:spacing w:after="60" w:before="160"/>
      </w:pPr>
      <w:r>
        <w:rPr>
          <w:rFonts w:ascii="Consolas" w:cs="Consolas" w:eastAsia="Consolas" w:hAnsi="Consolas"/>
          <w:sz w:val="19"/>
          <w:szCs w:val="19"/>
        </w:rPr>
        <w:t xml:space="preserve">function reconcileLedger(rows):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rows ← sortByDate(rows)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balance ← rows[0].balance                           // opening balance, taken as the anchor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for i in 1..len(rows):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    expected ← balance + rows[i].credit − rows[i].debit   // exact Decimal arithmetic, no floats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    rows[i].expectedBalance ← expected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    rows[i].isMathDrift ← abs(rows[i].balance − expected) &gt; 0.01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    balance ← rows[i].balance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if rows is empty: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    return { isMathConsistent: null, extractionFailed: true }   // never silently 'consistent'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return { isMathConsistent: not any(r.isMathDrift for r in rows), rows }</w:t>
      </w:r>
    </w:p>
    <w:p>
      <w:pPr>
        <w:pStyle w:val="Heading2"/>
        <w:keepNext/>
        <w:spacing w:after="120" w:before="280"/>
      </w:pPr>
      <w:r>
        <w:rPr>
          <w:b/>
          <w:bCs/>
          <w:color w:val="1E2761"/>
          <w:sz w:val="24"/>
          <w:szCs w:val="24"/>
        </w:rPr>
        <w:t xml:space="preserve">4.3 Decision Routing (Module 7)</w:t>
      </w:r>
    </w:p>
    <w:p>
      <w:pPr>
        <w:spacing w:after="60" w:before="160"/>
      </w:pPr>
      <w:r>
        <w:rPr>
          <w:rFonts w:ascii="Consolas" w:cs="Consolas" w:eastAsia="Consolas" w:hAnsi="Consolas"/>
          <w:sz w:val="19"/>
          <w:szCs w:val="19"/>
        </w:rPr>
        <w:t xml:space="preserve">function routeDecision(isTampered, isMathConsistent, creditScore):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if isTampered: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    return REJECT_FRAUD_ALERT                       // metadata/font fingerprint only - never ELA alone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if isMathConsistent is null or isMathConsistent == false: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    return MANUAL_REVIEW                            // drift, or extraction failed - never assumed clean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if creditScore &gt;= 750:  return AUTO_APPROVE          // recommendation only - officer still confirms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if creditScore &gt;= 600:  return MANUAL_REVIEW</w:t>
      </w:r>
    </w:p>
    <w:p>
      <w:pPr>
        <w:spacing w:after="40"/>
        <w:ind w:left="300"/>
      </w:pPr>
      <w:r>
        <w:rPr>
          <w:rFonts w:ascii="Consolas" w:cs="Consolas" w:eastAsia="Consolas" w:hAnsi="Consolas"/>
          <w:sz w:val="18"/>
          <w:szCs w:val="18"/>
        </w:rPr>
        <w:t xml:space="preserve">return REJECT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▪"/>
      <w:lvlJc w:val="left"/>
      <w:pPr>
        <w:ind w:left="8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241f14c9a93ca41bd212b1a92b8ede84d41de5f.png"/><Relationship Id="rId8" Type="http://schemas.openxmlformats.org/officeDocument/2006/relationships/image" Target="media/f614a1b2ef8a6bc4b8dda4103d8805b8c3c460c4.png"/><Relationship Id="rId9" Type="http://schemas.openxmlformats.org/officeDocument/2006/relationships/image" Target="media/b3df203f194e14a3e5288847727e9ba8f2628be0.png"/><Relationship Id="rId10" Type="http://schemas.openxmlformats.org/officeDocument/2006/relationships/image" Target="media/fd4ef0c7e08f3de45f050197649dcd779ed82478.png"/><Relationship Id="rId11" Type="http://schemas.openxmlformats.org/officeDocument/2006/relationships/image" Target="media/de99220a5c328c37917fef0e487b9eeabc9d7e13.png"/><Relationship Id="rId12" Type="http://schemas.openxmlformats.org/officeDocument/2006/relationships/image" Target="media/aea63888b2cb97b4c0aa74697ee54e7b09ca5ea9.png"/><Relationship Id="rId13" Type="http://schemas.openxmlformats.org/officeDocument/2006/relationships/image" Target="media/c95cd02f71b70c52ac46364b8c0e1fea8b16223b.png"/><Relationship Id="rId14" Type="http://schemas.openxmlformats.org/officeDocument/2006/relationships/image" Target="media/72c8e3b7344e0337cbcb96466d5764bef32df01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2026-10-22T16:20:43.450Z</dcterms:created>
  <dcterms:modified xsi:type="dcterms:W3CDTF">2026-10-22T16:20:43.451Z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